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FC88" w14:textId="34024175" w:rsidR="009B560D" w:rsidRPr="007C04AC" w:rsidRDefault="00CD3795" w:rsidP="007C04AC">
      <w:pPr>
        <w:jc w:val="center"/>
        <w:rPr>
          <w:rFonts w:ascii="Verdana" w:hAnsi="Verdana" w:cstheme="majorHAnsi"/>
          <w:b/>
          <w:bCs/>
          <w:color w:val="C00000"/>
          <w:sz w:val="24"/>
          <w:szCs w:val="24"/>
        </w:rPr>
      </w:pPr>
      <w:r w:rsidRPr="007C04AC">
        <w:rPr>
          <w:rFonts w:ascii="Verdana" w:hAnsi="Verdana" w:cstheme="majorHAnsi"/>
          <w:b/>
          <w:bCs/>
          <w:color w:val="C00000"/>
          <w:sz w:val="24"/>
          <w:szCs w:val="24"/>
        </w:rPr>
        <w:t xml:space="preserve">Renforcement de capacités des </w:t>
      </w:r>
      <w:r w:rsidRPr="007C04AC">
        <w:rPr>
          <w:rFonts w:ascii="Verdana" w:hAnsi="Verdana" w:cstheme="majorHAnsi"/>
          <w:b/>
          <w:bCs/>
          <w:color w:val="C00000"/>
          <w:sz w:val="24"/>
          <w:szCs w:val="24"/>
        </w:rPr>
        <w:t>acteurs</w:t>
      </w:r>
      <w:r w:rsidRPr="007C04AC">
        <w:rPr>
          <w:rFonts w:ascii="Verdana" w:hAnsi="Verdana" w:cstheme="majorHAnsi"/>
          <w:b/>
          <w:bCs/>
          <w:color w:val="C00000"/>
          <w:sz w:val="24"/>
          <w:szCs w:val="24"/>
        </w:rPr>
        <w:t xml:space="preserve"> du programme : </w:t>
      </w:r>
      <w:r w:rsidRPr="007C04AC">
        <w:rPr>
          <w:rFonts w:ascii="Verdana" w:hAnsi="Verdana" w:cstheme="majorHAnsi"/>
          <w:b/>
          <w:bCs/>
          <w:color w:val="C00000"/>
          <w:sz w:val="24"/>
          <w:szCs w:val="24"/>
        </w:rPr>
        <w:t xml:space="preserve">Les potentiels </w:t>
      </w:r>
      <w:r w:rsidRPr="007C04AC">
        <w:rPr>
          <w:rFonts w:ascii="Verdana" w:hAnsi="Verdana" w:cstheme="majorHAnsi"/>
          <w:b/>
          <w:bCs/>
          <w:color w:val="C00000"/>
          <w:sz w:val="24"/>
          <w:szCs w:val="24"/>
        </w:rPr>
        <w:t xml:space="preserve">récipiendaires du fonds d’investissement local </w:t>
      </w:r>
      <w:r w:rsidR="00DE43F4" w:rsidRPr="007C04AC">
        <w:rPr>
          <w:rFonts w:ascii="Verdana" w:hAnsi="Verdana" w:cstheme="majorHAnsi"/>
          <w:b/>
          <w:bCs/>
          <w:color w:val="C00000"/>
          <w:sz w:val="24"/>
          <w:szCs w:val="24"/>
        </w:rPr>
        <w:t>bénéficient d’une</w:t>
      </w:r>
      <w:r w:rsidR="003864BF" w:rsidRPr="007C04AC">
        <w:rPr>
          <w:rFonts w:ascii="Verdana" w:hAnsi="Verdana" w:cstheme="majorHAnsi"/>
          <w:b/>
          <w:bCs/>
          <w:color w:val="C00000"/>
          <w:sz w:val="24"/>
          <w:szCs w:val="24"/>
        </w:rPr>
        <w:t xml:space="preserve"> </w:t>
      </w:r>
      <w:r w:rsidR="003864BF" w:rsidRPr="007C04AC">
        <w:rPr>
          <w:rFonts w:ascii="Verdana" w:hAnsi="Verdana" w:cstheme="majorHAnsi"/>
          <w:b/>
          <w:bCs/>
          <w:color w:val="C00000"/>
          <w:sz w:val="24"/>
          <w:szCs w:val="24"/>
        </w:rPr>
        <w:t>formation sur les techniques de production d’oignon</w:t>
      </w:r>
    </w:p>
    <w:p w14:paraId="4C26BA1F" w14:textId="77777777" w:rsidR="007C04AC" w:rsidRPr="007C04AC" w:rsidRDefault="007C04AC" w:rsidP="00446584">
      <w:pPr>
        <w:jc w:val="center"/>
        <w:rPr>
          <w:rFonts w:ascii="Verdana" w:hAnsi="Verdana" w:cstheme="majorHAnsi"/>
          <w:b/>
          <w:bCs/>
          <w:color w:val="C00000"/>
          <w:sz w:val="20"/>
          <w:szCs w:val="20"/>
        </w:rPr>
      </w:pPr>
    </w:p>
    <w:p w14:paraId="7FDB656B" w14:textId="121801A6" w:rsidR="00B1296C" w:rsidRPr="007C04AC" w:rsidRDefault="00446584" w:rsidP="009B560D">
      <w:pPr>
        <w:jc w:val="both"/>
        <w:rPr>
          <w:rFonts w:ascii="Verdana" w:eastAsia="Times New Roman" w:hAnsi="Verdana" w:cstheme="majorHAnsi"/>
          <w:sz w:val="20"/>
          <w:szCs w:val="20"/>
        </w:rPr>
      </w:pPr>
      <w:r w:rsidRPr="007C04AC">
        <w:rPr>
          <w:rFonts w:ascii="Verdana" w:eastAsia="Times New Roman" w:hAnsi="Verdana"/>
          <w:noProof/>
          <w:color w:val="212121"/>
          <w:sz w:val="20"/>
          <w:szCs w:val="20"/>
        </w:rPr>
        <w:drawing>
          <wp:anchor distT="0" distB="0" distL="114300" distR="114300" simplePos="0" relativeHeight="251658240" behindDoc="1" locked="0" layoutInCell="1" allowOverlap="1" wp14:anchorId="3E040A2E" wp14:editId="48AFF2F7">
            <wp:simplePos x="0" y="0"/>
            <wp:positionH relativeFrom="column">
              <wp:posOffset>-635</wp:posOffset>
            </wp:positionH>
            <wp:positionV relativeFrom="paragraph">
              <wp:posOffset>-3175</wp:posOffset>
            </wp:positionV>
            <wp:extent cx="2409190" cy="1806892"/>
            <wp:effectExtent l="0" t="0" r="0" b="3175"/>
            <wp:wrapTight wrapText="bothSides">
              <wp:wrapPolygon edited="0">
                <wp:start x="0" y="0"/>
                <wp:lineTo x="0" y="21410"/>
                <wp:lineTo x="21349" y="21410"/>
                <wp:lineTo x="21349" y="0"/>
                <wp:lineTo x="0" y="0"/>
              </wp:wrapPolygon>
            </wp:wrapTight>
            <wp:docPr id="13295317"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b658c-3169-49a9-af43-0f1041556494"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9190" cy="1806892"/>
                    </a:xfrm>
                    <a:prstGeom prst="rect">
                      <a:avLst/>
                    </a:prstGeom>
                    <a:noFill/>
                    <a:ln>
                      <a:noFill/>
                    </a:ln>
                  </pic:spPr>
                </pic:pic>
              </a:graphicData>
            </a:graphic>
          </wp:anchor>
        </w:drawing>
      </w:r>
      <w:r w:rsidR="00B1296C" w:rsidRPr="007C04AC">
        <w:rPr>
          <w:rFonts w:ascii="Verdana" w:hAnsi="Verdana" w:cstheme="majorHAnsi"/>
          <w:sz w:val="20"/>
          <w:szCs w:val="20"/>
        </w:rPr>
        <w:t>Dans le cadre de la mise en œuvre effective de la trajectoire II</w:t>
      </w:r>
      <w:r w:rsidR="009B560D" w:rsidRPr="007C04AC">
        <w:rPr>
          <w:rFonts w:ascii="Verdana" w:hAnsi="Verdana" w:cstheme="majorHAnsi"/>
          <w:sz w:val="20"/>
          <w:szCs w:val="20"/>
        </w:rPr>
        <w:t xml:space="preserve"> « </w:t>
      </w:r>
      <w:r w:rsidR="009B560D" w:rsidRPr="007C04AC">
        <w:rPr>
          <w:rFonts w:ascii="Verdana" w:hAnsi="Verdana" w:cstheme="majorHAnsi"/>
          <w:b/>
          <w:bCs/>
          <w:sz w:val="20"/>
          <w:szCs w:val="20"/>
        </w:rPr>
        <w:t>Opportunités</w:t>
      </w:r>
      <w:r w:rsidR="00B1296C" w:rsidRPr="007C04AC">
        <w:rPr>
          <w:rFonts w:ascii="Verdana" w:hAnsi="Verdana" w:cstheme="majorHAnsi"/>
          <w:b/>
          <w:bCs/>
          <w:sz w:val="20"/>
          <w:szCs w:val="20"/>
        </w:rPr>
        <w:t xml:space="preserve"> d'affaires, de services et d'emploi et liens avec le marché améliorés, générant ainsi une plus grande valeur économique </w:t>
      </w:r>
      <w:r w:rsidR="00B1296C" w:rsidRPr="007C04AC">
        <w:rPr>
          <w:rFonts w:ascii="Verdana" w:hAnsi="Verdana" w:cstheme="majorHAnsi"/>
          <w:sz w:val="20"/>
          <w:szCs w:val="20"/>
        </w:rPr>
        <w:t xml:space="preserve">» du programme Pro ARIDES, il a été planifié un </w:t>
      </w:r>
      <w:r w:rsidR="00DE43F4" w:rsidRPr="007C04AC">
        <w:rPr>
          <w:rFonts w:ascii="Verdana" w:hAnsi="Verdana" w:cstheme="majorHAnsi"/>
          <w:sz w:val="20"/>
          <w:szCs w:val="20"/>
        </w:rPr>
        <w:t xml:space="preserve">paquet </w:t>
      </w:r>
      <w:r w:rsidR="00B1296C" w:rsidRPr="007C04AC">
        <w:rPr>
          <w:rFonts w:ascii="Verdana" w:hAnsi="Verdana" w:cstheme="majorHAnsi"/>
          <w:sz w:val="20"/>
          <w:szCs w:val="20"/>
        </w:rPr>
        <w:t xml:space="preserve">d’activités dont entre autres </w:t>
      </w:r>
      <w:r w:rsidR="00253C55" w:rsidRPr="007C04AC">
        <w:rPr>
          <w:rFonts w:ascii="Verdana" w:hAnsi="Verdana" w:cstheme="majorHAnsi"/>
          <w:sz w:val="20"/>
          <w:szCs w:val="20"/>
        </w:rPr>
        <w:t>les renforcements</w:t>
      </w:r>
      <w:r w:rsidR="00CD3795" w:rsidRPr="007C04AC">
        <w:rPr>
          <w:rFonts w:ascii="Verdana" w:eastAsia="Times New Roman" w:hAnsi="Verdana" w:cstheme="majorHAnsi"/>
          <w:b/>
          <w:bCs/>
          <w:sz w:val="20"/>
          <w:szCs w:val="20"/>
        </w:rPr>
        <w:t xml:space="preserve"> </w:t>
      </w:r>
      <w:r w:rsidRPr="007C04AC">
        <w:rPr>
          <w:rFonts w:ascii="Verdana" w:eastAsia="Times New Roman" w:hAnsi="Verdana" w:cstheme="majorHAnsi"/>
          <w:b/>
          <w:bCs/>
          <w:sz w:val="20"/>
          <w:szCs w:val="20"/>
        </w:rPr>
        <w:t>de capacités</w:t>
      </w:r>
      <w:r w:rsidR="00B1296C" w:rsidRPr="007C04AC">
        <w:rPr>
          <w:rFonts w:ascii="Verdana" w:eastAsia="Times New Roman" w:hAnsi="Verdana" w:cstheme="majorHAnsi"/>
          <w:b/>
          <w:bCs/>
          <w:sz w:val="20"/>
          <w:szCs w:val="20"/>
        </w:rPr>
        <w:t xml:space="preserve"> des microentreprises rurales hors exploitation agricole/</w:t>
      </w:r>
      <w:r w:rsidRPr="007C04AC">
        <w:rPr>
          <w:rFonts w:ascii="Verdana" w:eastAsia="Times New Roman" w:hAnsi="Verdana" w:cstheme="majorHAnsi"/>
          <w:b/>
          <w:bCs/>
          <w:sz w:val="20"/>
          <w:szCs w:val="20"/>
        </w:rPr>
        <w:t>troupeaux</w:t>
      </w:r>
      <w:r w:rsidRPr="007C04AC">
        <w:rPr>
          <w:rFonts w:ascii="Verdana" w:eastAsia="Times New Roman" w:hAnsi="Verdana" w:cstheme="majorHAnsi"/>
          <w:sz w:val="20"/>
          <w:szCs w:val="20"/>
        </w:rPr>
        <w:t>.</w:t>
      </w:r>
      <w:r w:rsidR="00B1296C" w:rsidRPr="007C04AC">
        <w:rPr>
          <w:rFonts w:ascii="Verdana" w:eastAsia="Times New Roman" w:hAnsi="Verdana" w:cstheme="majorHAnsi"/>
          <w:b/>
          <w:bCs/>
          <w:sz w:val="20"/>
          <w:szCs w:val="20"/>
        </w:rPr>
        <w:t xml:space="preserve"> </w:t>
      </w:r>
      <w:r w:rsidR="00B1296C" w:rsidRPr="007C04AC">
        <w:rPr>
          <w:rFonts w:ascii="Verdana" w:eastAsia="Times New Roman" w:hAnsi="Verdana" w:cstheme="majorHAnsi"/>
          <w:sz w:val="20"/>
          <w:szCs w:val="20"/>
        </w:rPr>
        <w:t>Ce paquet d’activités vise en effet</w:t>
      </w:r>
      <w:r w:rsidR="00B1296C" w:rsidRPr="007C04AC">
        <w:rPr>
          <w:rFonts w:ascii="Verdana" w:eastAsia="Times New Roman" w:hAnsi="Verdana" w:cstheme="majorHAnsi"/>
          <w:b/>
          <w:bCs/>
          <w:sz w:val="20"/>
          <w:szCs w:val="20"/>
        </w:rPr>
        <w:t xml:space="preserve"> </w:t>
      </w:r>
      <w:r w:rsidR="00B1296C" w:rsidRPr="007C04AC">
        <w:rPr>
          <w:rFonts w:ascii="Verdana" w:eastAsia="Times New Roman" w:hAnsi="Verdana" w:cstheme="majorHAnsi"/>
          <w:sz w:val="20"/>
          <w:szCs w:val="20"/>
        </w:rPr>
        <w:t xml:space="preserve">la capacitation des petites et moyennes entreprises (PME) cooptées pour bénéficier du fonds y relatif mais aussi des organisations paysannes (OP) issues pour la plupart des champs écoles </w:t>
      </w:r>
      <w:r w:rsidR="00DE43F4" w:rsidRPr="007C04AC">
        <w:rPr>
          <w:rFonts w:ascii="Verdana" w:eastAsia="Times New Roman" w:hAnsi="Verdana" w:cstheme="majorHAnsi"/>
          <w:sz w:val="20"/>
          <w:szCs w:val="20"/>
        </w:rPr>
        <w:t>agropastorales</w:t>
      </w:r>
      <w:r w:rsidR="00DE43F4" w:rsidRPr="007C04AC">
        <w:rPr>
          <w:rFonts w:ascii="Verdana" w:eastAsia="Times New Roman" w:hAnsi="Verdana" w:cstheme="majorHAnsi"/>
          <w:sz w:val="20"/>
          <w:szCs w:val="20"/>
        </w:rPr>
        <w:t xml:space="preserve"> </w:t>
      </w:r>
      <w:r w:rsidR="00B1296C" w:rsidRPr="007C04AC">
        <w:rPr>
          <w:rFonts w:ascii="Verdana" w:eastAsia="Times New Roman" w:hAnsi="Verdana" w:cstheme="majorHAnsi"/>
          <w:sz w:val="20"/>
          <w:szCs w:val="20"/>
        </w:rPr>
        <w:t>(CEAP) initiés par le programme</w:t>
      </w:r>
      <w:r w:rsidR="00DE43F4" w:rsidRPr="007C04AC">
        <w:rPr>
          <w:rFonts w:ascii="Verdana" w:eastAsia="Times New Roman" w:hAnsi="Verdana" w:cstheme="majorHAnsi"/>
          <w:sz w:val="20"/>
          <w:szCs w:val="20"/>
        </w:rPr>
        <w:t>,</w:t>
      </w:r>
      <w:r w:rsidR="00E772A9" w:rsidRPr="007C04AC">
        <w:rPr>
          <w:rFonts w:ascii="Verdana" w:eastAsia="Times New Roman" w:hAnsi="Verdana" w:cstheme="majorHAnsi"/>
          <w:sz w:val="20"/>
          <w:szCs w:val="20"/>
        </w:rPr>
        <w:t xml:space="preserve"> susceptibles d’être </w:t>
      </w:r>
      <w:bookmarkStart w:id="0" w:name="_Hlk154655134"/>
      <w:r w:rsidR="00E772A9" w:rsidRPr="007C04AC">
        <w:rPr>
          <w:rFonts w:ascii="Verdana" w:eastAsia="Times New Roman" w:hAnsi="Verdana" w:cstheme="majorHAnsi"/>
          <w:sz w:val="20"/>
          <w:szCs w:val="20"/>
        </w:rPr>
        <w:t xml:space="preserve">récipiendaires du fonds d’investissement local </w:t>
      </w:r>
      <w:bookmarkEnd w:id="0"/>
      <w:r w:rsidR="00E772A9" w:rsidRPr="007C04AC">
        <w:rPr>
          <w:rFonts w:ascii="Verdana" w:eastAsia="Times New Roman" w:hAnsi="Verdana" w:cstheme="majorHAnsi"/>
          <w:sz w:val="20"/>
          <w:szCs w:val="20"/>
        </w:rPr>
        <w:t xml:space="preserve">mis en place pour développer leurs capacités opérationnelles. </w:t>
      </w:r>
    </w:p>
    <w:p w14:paraId="192A4E81" w14:textId="22E3A362" w:rsidR="00DE43F4" w:rsidRPr="007C04AC" w:rsidRDefault="00E772A9" w:rsidP="009B560D">
      <w:pPr>
        <w:jc w:val="both"/>
        <w:rPr>
          <w:rFonts w:ascii="Verdana" w:eastAsia="Times New Roman" w:hAnsi="Verdana" w:cstheme="majorHAnsi"/>
          <w:sz w:val="20"/>
          <w:szCs w:val="20"/>
        </w:rPr>
      </w:pPr>
      <w:r w:rsidRPr="007C04AC">
        <w:rPr>
          <w:rFonts w:ascii="Verdana" w:eastAsia="Times New Roman" w:hAnsi="Verdana" w:cstheme="majorHAnsi"/>
          <w:sz w:val="20"/>
          <w:szCs w:val="20"/>
        </w:rPr>
        <w:t xml:space="preserve">C’est dans cette optique que </w:t>
      </w:r>
      <w:r w:rsidR="00D91CC5" w:rsidRPr="007C04AC">
        <w:rPr>
          <w:rFonts w:ascii="Verdana" w:eastAsia="Times New Roman" w:hAnsi="Verdana" w:cstheme="majorHAnsi"/>
          <w:sz w:val="20"/>
          <w:szCs w:val="20"/>
        </w:rPr>
        <w:t>cinq (5)</w:t>
      </w:r>
      <w:r w:rsidRPr="007C04AC">
        <w:rPr>
          <w:rFonts w:ascii="Verdana" w:eastAsia="Times New Roman" w:hAnsi="Verdana" w:cstheme="majorHAnsi"/>
          <w:sz w:val="20"/>
          <w:szCs w:val="20"/>
        </w:rPr>
        <w:t xml:space="preserve"> </w:t>
      </w:r>
      <w:r w:rsidR="00D91CC5" w:rsidRPr="007C04AC">
        <w:rPr>
          <w:rFonts w:ascii="Verdana" w:eastAsia="Times New Roman" w:hAnsi="Verdana" w:cstheme="majorHAnsi"/>
          <w:sz w:val="20"/>
          <w:szCs w:val="20"/>
        </w:rPr>
        <w:t xml:space="preserve">promoteurs de </w:t>
      </w:r>
      <w:r w:rsidRPr="007C04AC">
        <w:rPr>
          <w:rFonts w:ascii="Verdana" w:eastAsia="Times New Roman" w:hAnsi="Verdana" w:cstheme="majorHAnsi"/>
          <w:sz w:val="20"/>
          <w:szCs w:val="20"/>
        </w:rPr>
        <w:t xml:space="preserve">PME des 7 communes de la région de Tahoua ainsi que </w:t>
      </w:r>
      <w:r w:rsidR="009B560D" w:rsidRPr="007C04AC">
        <w:rPr>
          <w:rFonts w:ascii="Verdana" w:eastAsia="Times New Roman" w:hAnsi="Verdana" w:cstheme="majorHAnsi"/>
          <w:sz w:val="20"/>
          <w:szCs w:val="20"/>
        </w:rPr>
        <w:t>vingt un (</w:t>
      </w:r>
      <w:r w:rsidR="00D91CC5" w:rsidRPr="007C04AC">
        <w:rPr>
          <w:rFonts w:ascii="Verdana" w:eastAsia="Times New Roman" w:hAnsi="Verdana" w:cstheme="majorHAnsi"/>
          <w:sz w:val="20"/>
          <w:szCs w:val="20"/>
        </w:rPr>
        <w:t>21</w:t>
      </w:r>
      <w:r w:rsidR="009B560D" w:rsidRPr="007C04AC">
        <w:rPr>
          <w:rFonts w:ascii="Verdana" w:eastAsia="Times New Roman" w:hAnsi="Verdana" w:cstheme="majorHAnsi"/>
          <w:sz w:val="20"/>
          <w:szCs w:val="20"/>
        </w:rPr>
        <w:t>)</w:t>
      </w:r>
      <w:r w:rsidR="00D91CC5" w:rsidRPr="007C04AC">
        <w:rPr>
          <w:rFonts w:ascii="Verdana" w:eastAsia="Times New Roman" w:hAnsi="Verdana" w:cstheme="majorHAnsi"/>
          <w:sz w:val="20"/>
          <w:szCs w:val="20"/>
        </w:rPr>
        <w:t xml:space="preserve"> représentants  d’</w:t>
      </w:r>
      <w:r w:rsidRPr="007C04AC">
        <w:rPr>
          <w:rFonts w:ascii="Verdana" w:eastAsia="Times New Roman" w:hAnsi="Verdana" w:cstheme="majorHAnsi"/>
          <w:sz w:val="20"/>
          <w:szCs w:val="20"/>
        </w:rPr>
        <w:t>OP issues des CEAP des mêmes communes positionnées sur au moins l’un des maillons  (production, transformation, commercialisation) de la chaine de valeur « oignon », ont bénéficié du 09</w:t>
      </w:r>
      <w:r w:rsidR="007C04AC" w:rsidRPr="007C04AC">
        <w:rPr>
          <w:rFonts w:ascii="Verdana" w:eastAsia="Times New Roman" w:hAnsi="Verdana" w:cstheme="majorHAnsi"/>
          <w:sz w:val="20"/>
          <w:szCs w:val="20"/>
        </w:rPr>
        <w:t xml:space="preserve"> au 13 décembre 2023</w:t>
      </w:r>
      <w:r w:rsidRPr="007C04AC">
        <w:rPr>
          <w:rFonts w:ascii="Verdana" w:eastAsia="Times New Roman" w:hAnsi="Verdana" w:cstheme="majorHAnsi"/>
          <w:sz w:val="20"/>
          <w:szCs w:val="20"/>
        </w:rPr>
        <w:t xml:space="preserve"> d’une formation sur les techniques de production d’oignon, formation exprimée sous forme de besoin par ces organisation lors du processus d’élaboration de leur plan de renforcement des capacités mis en place en amont. Cette session de </w:t>
      </w:r>
      <w:r w:rsidR="00253C55" w:rsidRPr="007C04AC">
        <w:rPr>
          <w:rFonts w:ascii="Verdana" w:eastAsia="Times New Roman" w:hAnsi="Verdana" w:cstheme="majorHAnsi"/>
          <w:sz w:val="20"/>
          <w:szCs w:val="20"/>
        </w:rPr>
        <w:t>formation, d’une</w:t>
      </w:r>
      <w:r w:rsidRPr="007C04AC">
        <w:rPr>
          <w:rFonts w:ascii="Verdana" w:eastAsia="Times New Roman" w:hAnsi="Verdana" w:cstheme="majorHAnsi"/>
          <w:sz w:val="20"/>
          <w:szCs w:val="20"/>
        </w:rPr>
        <w:t xml:space="preserve"> durée de cinq (5) jours, a été facilitée par les directeurs </w:t>
      </w:r>
      <w:r w:rsidR="00446584" w:rsidRPr="007C04AC">
        <w:rPr>
          <w:rFonts w:ascii="Verdana" w:eastAsia="Times New Roman" w:hAnsi="Verdana" w:cstheme="majorHAnsi"/>
          <w:sz w:val="20"/>
          <w:szCs w:val="20"/>
        </w:rPr>
        <w:t>départementaux de</w:t>
      </w:r>
      <w:r w:rsidR="00D91CC5" w:rsidRPr="007C04AC">
        <w:rPr>
          <w:rFonts w:ascii="Verdana" w:eastAsia="Times New Roman" w:hAnsi="Verdana" w:cstheme="majorHAnsi"/>
          <w:sz w:val="20"/>
          <w:szCs w:val="20"/>
        </w:rPr>
        <w:t xml:space="preserve"> l’Agriculture </w:t>
      </w:r>
      <w:r w:rsidRPr="007C04AC">
        <w:rPr>
          <w:rFonts w:ascii="Verdana" w:eastAsia="Times New Roman" w:hAnsi="Verdana" w:cstheme="majorHAnsi"/>
          <w:sz w:val="20"/>
          <w:szCs w:val="20"/>
        </w:rPr>
        <w:t xml:space="preserve">de Madaoua (avec 3 communes : Bangui, </w:t>
      </w:r>
      <w:proofErr w:type="spellStart"/>
      <w:r w:rsidRPr="007C04AC">
        <w:rPr>
          <w:rFonts w:ascii="Verdana" w:eastAsia="Times New Roman" w:hAnsi="Verdana" w:cstheme="majorHAnsi"/>
          <w:sz w:val="20"/>
          <w:szCs w:val="20"/>
        </w:rPr>
        <w:t>Sabon</w:t>
      </w:r>
      <w:proofErr w:type="spellEnd"/>
      <w:r w:rsidRPr="007C04AC">
        <w:rPr>
          <w:rFonts w:ascii="Verdana" w:eastAsia="Times New Roman" w:hAnsi="Verdana" w:cstheme="majorHAnsi"/>
          <w:sz w:val="20"/>
          <w:szCs w:val="20"/>
        </w:rPr>
        <w:t xml:space="preserve"> guida et </w:t>
      </w:r>
      <w:proofErr w:type="spellStart"/>
      <w:r w:rsidRPr="007C04AC">
        <w:rPr>
          <w:rFonts w:ascii="Verdana" w:eastAsia="Times New Roman" w:hAnsi="Verdana" w:cstheme="majorHAnsi"/>
          <w:sz w:val="20"/>
          <w:szCs w:val="20"/>
        </w:rPr>
        <w:t>Galma</w:t>
      </w:r>
      <w:proofErr w:type="spellEnd"/>
      <w:r w:rsidRPr="007C04AC">
        <w:rPr>
          <w:rFonts w:ascii="Verdana" w:eastAsia="Times New Roman" w:hAnsi="Verdana" w:cstheme="majorHAnsi"/>
          <w:sz w:val="20"/>
          <w:szCs w:val="20"/>
        </w:rPr>
        <w:t xml:space="preserve">) et de </w:t>
      </w:r>
      <w:proofErr w:type="spellStart"/>
      <w:r w:rsidRPr="007C04AC">
        <w:rPr>
          <w:rFonts w:ascii="Verdana" w:eastAsia="Times New Roman" w:hAnsi="Verdana" w:cstheme="majorHAnsi"/>
          <w:sz w:val="20"/>
          <w:szCs w:val="20"/>
        </w:rPr>
        <w:t>Malbaza</w:t>
      </w:r>
      <w:proofErr w:type="spellEnd"/>
      <w:r w:rsidRPr="007C04AC">
        <w:rPr>
          <w:rFonts w:ascii="Verdana" w:eastAsia="Times New Roman" w:hAnsi="Verdana" w:cstheme="majorHAnsi"/>
          <w:sz w:val="20"/>
          <w:szCs w:val="20"/>
        </w:rPr>
        <w:t xml:space="preserve"> (</w:t>
      </w:r>
      <w:proofErr w:type="spellStart"/>
      <w:r w:rsidRPr="007C04AC">
        <w:rPr>
          <w:rFonts w:ascii="Verdana" w:eastAsia="Times New Roman" w:hAnsi="Verdana" w:cstheme="majorHAnsi"/>
          <w:sz w:val="20"/>
          <w:szCs w:val="20"/>
        </w:rPr>
        <w:t>Malbaza</w:t>
      </w:r>
      <w:proofErr w:type="spellEnd"/>
      <w:r w:rsidRPr="007C04AC">
        <w:rPr>
          <w:rFonts w:ascii="Verdana" w:eastAsia="Times New Roman" w:hAnsi="Verdana" w:cstheme="majorHAnsi"/>
          <w:sz w:val="20"/>
          <w:szCs w:val="20"/>
        </w:rPr>
        <w:t xml:space="preserve"> et </w:t>
      </w:r>
      <w:proofErr w:type="spellStart"/>
      <w:r w:rsidRPr="007C04AC">
        <w:rPr>
          <w:rFonts w:ascii="Verdana" w:eastAsia="Times New Roman" w:hAnsi="Verdana" w:cstheme="majorHAnsi"/>
          <w:sz w:val="20"/>
          <w:szCs w:val="20"/>
        </w:rPr>
        <w:t>Dogueraoua</w:t>
      </w:r>
      <w:proofErr w:type="spellEnd"/>
      <w:r w:rsidRPr="007C04AC">
        <w:rPr>
          <w:rFonts w:ascii="Verdana" w:eastAsia="Times New Roman" w:hAnsi="Verdana" w:cstheme="majorHAnsi"/>
          <w:sz w:val="20"/>
          <w:szCs w:val="20"/>
        </w:rPr>
        <w:t xml:space="preserve"> qui est le centre de regroupement pour la formation). A ces communes s’ajoutent celles du département de </w:t>
      </w:r>
      <w:proofErr w:type="spellStart"/>
      <w:r w:rsidRPr="007C04AC">
        <w:rPr>
          <w:rFonts w:ascii="Verdana" w:eastAsia="Times New Roman" w:hAnsi="Verdana" w:cstheme="majorHAnsi"/>
          <w:sz w:val="20"/>
          <w:szCs w:val="20"/>
        </w:rPr>
        <w:t>Konni</w:t>
      </w:r>
      <w:proofErr w:type="spellEnd"/>
      <w:r w:rsidRPr="007C04AC">
        <w:rPr>
          <w:rFonts w:ascii="Verdana" w:eastAsia="Times New Roman" w:hAnsi="Verdana" w:cstheme="majorHAnsi"/>
          <w:sz w:val="20"/>
          <w:szCs w:val="20"/>
        </w:rPr>
        <w:t xml:space="preserve"> </w:t>
      </w:r>
      <w:r w:rsidR="00DE43F4" w:rsidRPr="007C04AC">
        <w:rPr>
          <w:rFonts w:ascii="Verdana" w:eastAsia="Times New Roman" w:hAnsi="Verdana" w:cstheme="majorHAnsi"/>
          <w:sz w:val="20"/>
          <w:szCs w:val="20"/>
        </w:rPr>
        <w:t>(</w:t>
      </w:r>
      <w:r w:rsidRPr="007C04AC">
        <w:rPr>
          <w:rFonts w:ascii="Verdana" w:eastAsia="Times New Roman" w:hAnsi="Verdana" w:cstheme="majorHAnsi"/>
          <w:sz w:val="20"/>
          <w:szCs w:val="20"/>
        </w:rPr>
        <w:t xml:space="preserve">que sont </w:t>
      </w:r>
      <w:proofErr w:type="spellStart"/>
      <w:r w:rsidRPr="007C04AC">
        <w:rPr>
          <w:rFonts w:ascii="Verdana" w:eastAsia="Times New Roman" w:hAnsi="Verdana" w:cstheme="majorHAnsi"/>
          <w:sz w:val="20"/>
          <w:szCs w:val="20"/>
        </w:rPr>
        <w:t>Bazaga</w:t>
      </w:r>
      <w:proofErr w:type="spellEnd"/>
      <w:r w:rsidR="00D91CC5" w:rsidRPr="007C04AC">
        <w:rPr>
          <w:rFonts w:ascii="Verdana" w:eastAsia="Times New Roman" w:hAnsi="Verdana" w:cstheme="majorHAnsi"/>
          <w:sz w:val="20"/>
          <w:szCs w:val="20"/>
        </w:rPr>
        <w:t xml:space="preserve"> et</w:t>
      </w:r>
      <w:r w:rsidRPr="007C04AC">
        <w:rPr>
          <w:rFonts w:ascii="Verdana" w:eastAsia="Times New Roman" w:hAnsi="Verdana" w:cstheme="majorHAnsi"/>
          <w:sz w:val="20"/>
          <w:szCs w:val="20"/>
        </w:rPr>
        <w:t xml:space="preserve"> </w:t>
      </w:r>
      <w:proofErr w:type="spellStart"/>
      <w:r w:rsidRPr="007C04AC">
        <w:rPr>
          <w:rFonts w:ascii="Verdana" w:eastAsia="Times New Roman" w:hAnsi="Verdana" w:cstheme="majorHAnsi"/>
          <w:sz w:val="20"/>
          <w:szCs w:val="20"/>
        </w:rPr>
        <w:t>Tsernaoua</w:t>
      </w:r>
      <w:proofErr w:type="spellEnd"/>
      <w:r w:rsidR="00D91CC5" w:rsidRPr="007C04AC">
        <w:rPr>
          <w:rFonts w:ascii="Verdana" w:eastAsia="Times New Roman" w:hAnsi="Verdana" w:cstheme="majorHAnsi"/>
          <w:sz w:val="20"/>
          <w:szCs w:val="20"/>
        </w:rPr>
        <w:t xml:space="preserve">). </w:t>
      </w:r>
    </w:p>
    <w:p w14:paraId="1874BBB1" w14:textId="06F196E6" w:rsidR="00E772A9" w:rsidRPr="007C04AC" w:rsidRDefault="00DE43F4" w:rsidP="009B560D">
      <w:pPr>
        <w:jc w:val="both"/>
        <w:rPr>
          <w:rFonts w:ascii="Verdana" w:eastAsia="Times New Roman" w:hAnsi="Verdana" w:cstheme="majorHAnsi"/>
          <w:sz w:val="20"/>
          <w:szCs w:val="20"/>
        </w:rPr>
      </w:pPr>
      <w:r w:rsidRPr="007C04AC">
        <w:rPr>
          <w:rFonts w:ascii="Verdana" w:eastAsia="Times New Roman" w:hAnsi="Verdana" w:cstheme="majorHAnsi"/>
          <w:sz w:val="20"/>
          <w:szCs w:val="20"/>
        </w:rPr>
        <w:t xml:space="preserve">Cette formation </w:t>
      </w:r>
      <w:r w:rsidR="00D91CC5" w:rsidRPr="007C04AC">
        <w:rPr>
          <w:rFonts w:ascii="Verdana" w:eastAsia="Times New Roman" w:hAnsi="Verdana" w:cstheme="majorHAnsi"/>
          <w:sz w:val="20"/>
          <w:szCs w:val="20"/>
        </w:rPr>
        <w:t>vise globalement à préparer davantage les PME à recevoir la subvention pour son utilisation efficace mais également à constituer un préalable au</w:t>
      </w:r>
      <w:r w:rsidR="009B560D" w:rsidRPr="007C04AC">
        <w:rPr>
          <w:rFonts w:ascii="Verdana" w:eastAsia="Times New Roman" w:hAnsi="Verdana" w:cstheme="majorHAnsi"/>
          <w:sz w:val="20"/>
          <w:szCs w:val="20"/>
        </w:rPr>
        <w:t>x</w:t>
      </w:r>
      <w:r w:rsidR="00D91CC5" w:rsidRPr="007C04AC">
        <w:rPr>
          <w:rFonts w:ascii="Verdana" w:eastAsia="Times New Roman" w:hAnsi="Verdana" w:cstheme="majorHAnsi"/>
          <w:sz w:val="20"/>
          <w:szCs w:val="20"/>
        </w:rPr>
        <w:t xml:space="preserve"> OP issues des CEAP pour une meilleure mise en route de leurs activités.  Au cours de cette formation, les récipiendaires ont été exposés à des travaux de groupe, des projections vidéo sur le cycle complet de l’oignon ( de la préparation du sol à travers le brûlis, le nivellement</w:t>
      </w:r>
      <w:r w:rsidR="00D930CE" w:rsidRPr="007C04AC">
        <w:rPr>
          <w:rFonts w:ascii="Verdana" w:eastAsia="Times New Roman" w:hAnsi="Verdana" w:cstheme="majorHAnsi"/>
          <w:sz w:val="20"/>
          <w:szCs w:val="20"/>
        </w:rPr>
        <w:t xml:space="preserve">, </w:t>
      </w:r>
      <w:r w:rsidR="00D91CC5" w:rsidRPr="007C04AC">
        <w:rPr>
          <w:rFonts w:ascii="Verdana" w:eastAsia="Times New Roman" w:hAnsi="Verdana" w:cstheme="majorHAnsi"/>
          <w:sz w:val="20"/>
          <w:szCs w:val="20"/>
        </w:rPr>
        <w:t xml:space="preserve">à la mise en place de la pépinière, son entretien jusqu’au </w:t>
      </w:r>
      <w:r w:rsidR="009B560D" w:rsidRPr="007C04AC">
        <w:rPr>
          <w:rFonts w:ascii="Verdana" w:eastAsia="Times New Roman" w:hAnsi="Verdana" w:cstheme="majorHAnsi"/>
          <w:sz w:val="20"/>
          <w:szCs w:val="20"/>
        </w:rPr>
        <w:t>repiquage, et du suivi et entretien des plants transplantés jusqu’à la bulbaison, récolte, conditionnement et commercialisation)</w:t>
      </w:r>
      <w:r w:rsidR="00D91CC5" w:rsidRPr="007C04AC">
        <w:rPr>
          <w:rFonts w:ascii="Verdana" w:eastAsia="Times New Roman" w:hAnsi="Verdana" w:cstheme="majorHAnsi"/>
          <w:sz w:val="20"/>
          <w:szCs w:val="20"/>
        </w:rPr>
        <w:t>, des</w:t>
      </w:r>
      <w:r w:rsidR="009B560D" w:rsidRPr="007C04AC">
        <w:rPr>
          <w:rFonts w:ascii="Verdana" w:eastAsia="Times New Roman" w:hAnsi="Verdana" w:cstheme="majorHAnsi"/>
          <w:sz w:val="20"/>
          <w:szCs w:val="20"/>
        </w:rPr>
        <w:t xml:space="preserve"> notions sur les</w:t>
      </w:r>
      <w:r w:rsidR="00D91CC5" w:rsidRPr="007C04AC">
        <w:rPr>
          <w:rFonts w:ascii="Verdana" w:eastAsia="Times New Roman" w:hAnsi="Verdana" w:cstheme="majorHAnsi"/>
          <w:sz w:val="20"/>
          <w:szCs w:val="20"/>
        </w:rPr>
        <w:t xml:space="preserve"> potentiels ennemis de culture, leurs modes d’opération et leurs contrôles, </w:t>
      </w:r>
      <w:r w:rsidRPr="007C04AC">
        <w:rPr>
          <w:rFonts w:ascii="Verdana" w:eastAsia="Times New Roman" w:hAnsi="Verdana" w:cstheme="majorHAnsi"/>
          <w:sz w:val="20"/>
          <w:szCs w:val="20"/>
        </w:rPr>
        <w:t xml:space="preserve"> </w:t>
      </w:r>
      <w:r w:rsidR="00D91CC5" w:rsidRPr="007C04AC">
        <w:rPr>
          <w:rFonts w:ascii="Verdana" w:eastAsia="Times New Roman" w:hAnsi="Verdana" w:cstheme="majorHAnsi"/>
          <w:sz w:val="20"/>
          <w:szCs w:val="20"/>
        </w:rPr>
        <w:t xml:space="preserve"> mais aussi des sort</w:t>
      </w:r>
      <w:r w:rsidR="009B560D" w:rsidRPr="007C04AC">
        <w:rPr>
          <w:rFonts w:ascii="Verdana" w:eastAsia="Times New Roman" w:hAnsi="Verdana" w:cstheme="majorHAnsi"/>
          <w:sz w:val="20"/>
          <w:szCs w:val="20"/>
        </w:rPr>
        <w:t>i</w:t>
      </w:r>
      <w:r w:rsidR="00D91CC5" w:rsidRPr="007C04AC">
        <w:rPr>
          <w:rFonts w:ascii="Verdana" w:eastAsia="Times New Roman" w:hAnsi="Verdana" w:cstheme="majorHAnsi"/>
          <w:sz w:val="20"/>
          <w:szCs w:val="20"/>
        </w:rPr>
        <w:t xml:space="preserve">es terrain qui se sont soldés par des travaux pratiques sur les techniques du compostages, </w:t>
      </w:r>
      <w:r w:rsidRPr="007C04AC">
        <w:rPr>
          <w:rFonts w:ascii="Verdana" w:eastAsia="Times New Roman" w:hAnsi="Verdana" w:cstheme="majorHAnsi"/>
          <w:sz w:val="20"/>
          <w:szCs w:val="20"/>
        </w:rPr>
        <w:t xml:space="preserve"> et </w:t>
      </w:r>
      <w:r w:rsidR="00D91CC5" w:rsidRPr="007C04AC">
        <w:rPr>
          <w:rFonts w:ascii="Verdana" w:eastAsia="Times New Roman" w:hAnsi="Verdana" w:cstheme="majorHAnsi"/>
          <w:sz w:val="20"/>
          <w:szCs w:val="20"/>
        </w:rPr>
        <w:t xml:space="preserve">de la gestion alternative des ravageurs. </w:t>
      </w:r>
      <w:r w:rsidRPr="007C04AC">
        <w:rPr>
          <w:rFonts w:ascii="Verdana" w:eastAsia="Times New Roman" w:hAnsi="Verdana" w:cstheme="majorHAnsi"/>
          <w:sz w:val="20"/>
          <w:szCs w:val="20"/>
        </w:rPr>
        <w:t>A la fin de la formation</w:t>
      </w:r>
      <w:r w:rsidR="00160E2C" w:rsidRPr="007C04AC">
        <w:rPr>
          <w:rFonts w:ascii="Verdana" w:eastAsia="Times New Roman" w:hAnsi="Verdana" w:cstheme="majorHAnsi"/>
          <w:sz w:val="20"/>
          <w:szCs w:val="20"/>
        </w:rPr>
        <w:t xml:space="preserve">, chaque </w:t>
      </w:r>
      <w:r w:rsidR="00D930CE" w:rsidRPr="007C04AC">
        <w:rPr>
          <w:rFonts w:ascii="Verdana" w:eastAsia="Times New Roman" w:hAnsi="Verdana" w:cstheme="majorHAnsi"/>
          <w:sz w:val="20"/>
          <w:szCs w:val="20"/>
        </w:rPr>
        <w:t>participant</w:t>
      </w:r>
      <w:r w:rsidR="00160E2C" w:rsidRPr="007C04AC">
        <w:rPr>
          <w:rFonts w:ascii="Verdana" w:eastAsia="Times New Roman" w:hAnsi="Verdana" w:cstheme="majorHAnsi"/>
          <w:sz w:val="20"/>
          <w:szCs w:val="20"/>
        </w:rPr>
        <w:t xml:space="preserve"> a bénéficié d’un cahier de l’apprenant constitué de 34 pages</w:t>
      </w:r>
      <w:r w:rsidRPr="007C04AC">
        <w:rPr>
          <w:rFonts w:ascii="Verdana" w:eastAsia="Times New Roman" w:hAnsi="Verdana" w:cstheme="majorHAnsi"/>
          <w:sz w:val="20"/>
          <w:szCs w:val="20"/>
        </w:rPr>
        <w:t xml:space="preserve"> traitant des sujets évoqu</w:t>
      </w:r>
      <w:r w:rsidR="00D930CE" w:rsidRPr="007C04AC">
        <w:rPr>
          <w:rFonts w:ascii="Verdana" w:eastAsia="Times New Roman" w:hAnsi="Verdana" w:cstheme="majorHAnsi"/>
          <w:sz w:val="20"/>
          <w:szCs w:val="20"/>
        </w:rPr>
        <w:t>és</w:t>
      </w:r>
      <w:r w:rsidRPr="007C04AC">
        <w:rPr>
          <w:rFonts w:ascii="Verdana" w:eastAsia="Times New Roman" w:hAnsi="Verdana" w:cstheme="majorHAnsi"/>
          <w:sz w:val="20"/>
          <w:szCs w:val="20"/>
        </w:rPr>
        <w:t xml:space="preserve"> au cours </w:t>
      </w:r>
      <w:r w:rsidR="00D930CE" w:rsidRPr="007C04AC">
        <w:rPr>
          <w:rFonts w:ascii="Verdana" w:eastAsia="Times New Roman" w:hAnsi="Verdana" w:cstheme="majorHAnsi"/>
          <w:sz w:val="20"/>
          <w:szCs w:val="20"/>
        </w:rPr>
        <w:t>d</w:t>
      </w:r>
      <w:r w:rsidRPr="007C04AC">
        <w:rPr>
          <w:rFonts w:ascii="Verdana" w:eastAsia="Times New Roman" w:hAnsi="Verdana" w:cstheme="majorHAnsi"/>
          <w:sz w:val="20"/>
          <w:szCs w:val="20"/>
        </w:rPr>
        <w:t xml:space="preserve">e la </w:t>
      </w:r>
      <w:r w:rsidR="00253C55" w:rsidRPr="007C04AC">
        <w:rPr>
          <w:rFonts w:ascii="Verdana" w:eastAsia="Times New Roman" w:hAnsi="Verdana" w:cstheme="majorHAnsi"/>
          <w:sz w:val="20"/>
          <w:szCs w:val="20"/>
        </w:rPr>
        <w:t>formation,</w:t>
      </w:r>
      <w:r w:rsidR="00160E2C" w:rsidRPr="007C04AC">
        <w:rPr>
          <w:rFonts w:ascii="Verdana" w:eastAsia="Times New Roman" w:hAnsi="Verdana" w:cstheme="majorHAnsi"/>
          <w:sz w:val="20"/>
          <w:szCs w:val="20"/>
        </w:rPr>
        <w:t xml:space="preserve"> utile pour se remémorer certains passages surtout que </w:t>
      </w:r>
      <w:r w:rsidR="00160E2C" w:rsidRPr="007C04AC">
        <w:rPr>
          <w:rFonts w:ascii="Verdana" w:eastAsia="Times New Roman" w:hAnsi="Verdana" w:cstheme="majorHAnsi"/>
          <w:b/>
          <w:bCs/>
          <w:sz w:val="20"/>
          <w:szCs w:val="20"/>
        </w:rPr>
        <w:t>le rappel est pédagogique</w:t>
      </w:r>
      <w:r w:rsidR="00160E2C" w:rsidRPr="007C04AC">
        <w:rPr>
          <w:rFonts w:ascii="Verdana" w:eastAsia="Times New Roman" w:hAnsi="Verdana" w:cstheme="majorHAnsi"/>
          <w:sz w:val="20"/>
          <w:szCs w:val="20"/>
        </w:rPr>
        <w:t xml:space="preserve"> comme il </w:t>
      </w:r>
      <w:r w:rsidR="00446584" w:rsidRPr="007C04AC">
        <w:rPr>
          <w:rFonts w:ascii="Verdana" w:eastAsia="Times New Roman" w:hAnsi="Verdana" w:cstheme="majorHAnsi"/>
          <w:sz w:val="20"/>
          <w:szCs w:val="20"/>
        </w:rPr>
        <w:t>est dit</w:t>
      </w:r>
      <w:r w:rsidR="00D930CE" w:rsidRPr="007C04AC">
        <w:rPr>
          <w:rFonts w:ascii="Verdana" w:eastAsia="Times New Roman" w:hAnsi="Verdana" w:cstheme="majorHAnsi"/>
          <w:sz w:val="20"/>
          <w:szCs w:val="20"/>
        </w:rPr>
        <w:t xml:space="preserve"> </w:t>
      </w:r>
      <w:r w:rsidR="00160E2C" w:rsidRPr="007C04AC">
        <w:rPr>
          <w:rFonts w:ascii="Verdana" w:eastAsia="Times New Roman" w:hAnsi="Verdana" w:cstheme="majorHAnsi"/>
          <w:sz w:val="20"/>
          <w:szCs w:val="20"/>
        </w:rPr>
        <w:t xml:space="preserve">de </w:t>
      </w:r>
      <w:r w:rsidR="007C04AC" w:rsidRPr="007C04AC">
        <w:rPr>
          <w:rFonts w:ascii="Verdana" w:eastAsia="Times New Roman" w:hAnsi="Verdana" w:cstheme="majorHAnsi"/>
          <w:sz w:val="20"/>
          <w:szCs w:val="20"/>
        </w:rPr>
        <w:t>coutume !</w:t>
      </w:r>
    </w:p>
    <w:p w14:paraId="6153A276" w14:textId="2FA0D8F5" w:rsidR="00B1296C" w:rsidRPr="007C04AC" w:rsidRDefault="00160E2C" w:rsidP="00160E2C">
      <w:pPr>
        <w:jc w:val="both"/>
        <w:rPr>
          <w:rFonts w:ascii="Verdana" w:eastAsia="Times New Roman" w:hAnsi="Verdana" w:cstheme="majorHAnsi"/>
          <w:sz w:val="20"/>
          <w:szCs w:val="20"/>
        </w:rPr>
      </w:pPr>
      <w:r w:rsidRPr="007C04AC">
        <w:rPr>
          <w:rFonts w:ascii="Verdana" w:eastAsia="Times New Roman" w:hAnsi="Verdana"/>
          <w:color w:val="212121"/>
          <w:sz w:val="20"/>
          <w:szCs w:val="20"/>
        </w:rPr>
        <w:t xml:space="preserve"> </w:t>
      </w:r>
    </w:p>
    <w:sectPr w:rsidR="00B1296C" w:rsidRPr="007C0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7106" w14:textId="77777777" w:rsidR="00223241" w:rsidRDefault="00223241" w:rsidP="00160E2C">
      <w:pPr>
        <w:spacing w:after="0" w:line="240" w:lineRule="auto"/>
      </w:pPr>
      <w:r>
        <w:separator/>
      </w:r>
    </w:p>
  </w:endnote>
  <w:endnote w:type="continuationSeparator" w:id="0">
    <w:p w14:paraId="1ACEA2B1" w14:textId="77777777" w:rsidR="00223241" w:rsidRDefault="00223241" w:rsidP="0016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9AEB" w14:textId="77777777" w:rsidR="00223241" w:rsidRDefault="00223241" w:rsidP="00160E2C">
      <w:pPr>
        <w:spacing w:after="0" w:line="240" w:lineRule="auto"/>
      </w:pPr>
      <w:r>
        <w:separator/>
      </w:r>
    </w:p>
  </w:footnote>
  <w:footnote w:type="continuationSeparator" w:id="0">
    <w:p w14:paraId="2FAF1A19" w14:textId="77777777" w:rsidR="00223241" w:rsidRDefault="00223241" w:rsidP="00160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C73"/>
    <w:multiLevelType w:val="hybridMultilevel"/>
    <w:tmpl w:val="BA8ADB94"/>
    <w:lvl w:ilvl="0" w:tplc="8A463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1668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C"/>
    <w:rsid w:val="000B22CB"/>
    <w:rsid w:val="00160E2C"/>
    <w:rsid w:val="00223241"/>
    <w:rsid w:val="00253C55"/>
    <w:rsid w:val="0034726B"/>
    <w:rsid w:val="003864BF"/>
    <w:rsid w:val="00446584"/>
    <w:rsid w:val="006A794D"/>
    <w:rsid w:val="007C04AC"/>
    <w:rsid w:val="009A61E0"/>
    <w:rsid w:val="009B560D"/>
    <w:rsid w:val="00B1296C"/>
    <w:rsid w:val="00CD3795"/>
    <w:rsid w:val="00D91CC5"/>
    <w:rsid w:val="00D930CE"/>
    <w:rsid w:val="00DE43F4"/>
    <w:rsid w:val="00E7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AAD"/>
  <w15:chartTrackingRefBased/>
  <w15:docId w15:val="{7D5B2094-AC9F-401A-A6AD-62C78894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1296C"/>
    <w:pPr>
      <w:keepNext/>
      <w:keepLines/>
      <w:spacing w:before="40" w:after="0"/>
      <w:outlineLvl w:val="2"/>
    </w:pPr>
    <w:rPr>
      <w:rFonts w:asciiTheme="majorHAnsi" w:eastAsiaTheme="majorEastAsia" w:hAnsiTheme="majorHAnsi" w:cstheme="majorBidi"/>
      <w:color w:val="ED7D31" w:themeColor="accent2"/>
      <w:kern w:val="0"/>
      <w:sz w:val="24"/>
      <w:szCs w:val="24"/>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296C"/>
    <w:rPr>
      <w:rFonts w:asciiTheme="majorHAnsi" w:eastAsiaTheme="majorEastAsia" w:hAnsiTheme="majorHAnsi" w:cstheme="majorBidi"/>
      <w:color w:val="ED7D31" w:themeColor="accent2"/>
      <w:kern w:val="0"/>
      <w:sz w:val="24"/>
      <w:szCs w:val="24"/>
      <w14:ligatures w14:val="none"/>
    </w:rPr>
  </w:style>
  <w:style w:type="paragraph" w:styleId="En-tte">
    <w:name w:val="header"/>
    <w:basedOn w:val="Normal"/>
    <w:link w:val="En-tteCar"/>
    <w:uiPriority w:val="99"/>
    <w:unhideWhenUsed/>
    <w:rsid w:val="00160E2C"/>
    <w:pPr>
      <w:tabs>
        <w:tab w:val="center" w:pos="4536"/>
        <w:tab w:val="right" w:pos="9072"/>
      </w:tabs>
      <w:spacing w:after="0" w:line="240" w:lineRule="auto"/>
    </w:pPr>
  </w:style>
  <w:style w:type="character" w:customStyle="1" w:styleId="En-tteCar">
    <w:name w:val="En-tête Car"/>
    <w:basedOn w:val="Policepardfaut"/>
    <w:link w:val="En-tte"/>
    <w:uiPriority w:val="99"/>
    <w:rsid w:val="00160E2C"/>
  </w:style>
  <w:style w:type="paragraph" w:styleId="Pieddepage">
    <w:name w:val="footer"/>
    <w:basedOn w:val="Normal"/>
    <w:link w:val="PieddepageCar"/>
    <w:uiPriority w:val="99"/>
    <w:unhideWhenUsed/>
    <w:rsid w:val="00160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E2C"/>
  </w:style>
  <w:style w:type="paragraph" w:styleId="Rvision">
    <w:name w:val="Revision"/>
    <w:hidden/>
    <w:uiPriority w:val="99"/>
    <w:semiHidden/>
    <w:rsid w:val="00347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edb658c-3169-49a9-af43-0f104155649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Ramatou, Moumouni Guéro</cp:lastModifiedBy>
  <cp:revision>2</cp:revision>
  <dcterms:created xsi:type="dcterms:W3CDTF">2024-01-02T15:02:00Z</dcterms:created>
  <dcterms:modified xsi:type="dcterms:W3CDTF">2024-01-02T15:02:00Z</dcterms:modified>
</cp:coreProperties>
</file>