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A6FA" w14:textId="77777777" w:rsidR="00F11FE3" w:rsidRPr="00F11FE3" w:rsidRDefault="00F11FE3" w:rsidP="00F11FE3">
      <w:pPr>
        <w:rPr>
          <w:rFonts w:ascii="Verdana" w:hAnsi="Verdana" w:cstheme="minorHAnsi"/>
          <w:b/>
          <w:bCs/>
          <w:sz w:val="24"/>
          <w:szCs w:val="24"/>
        </w:rPr>
      </w:pPr>
      <w:bookmarkStart w:id="0" w:name="_Hlk148964956"/>
      <w:r w:rsidRPr="00F11FE3">
        <w:rPr>
          <w:rFonts w:ascii="Verdana" w:hAnsi="Verdana" w:cstheme="minorHAnsi"/>
          <w:b/>
          <w:bCs/>
          <w:sz w:val="24"/>
          <w:szCs w:val="24"/>
          <w:lang w:val="fr-FR"/>
        </w:rPr>
        <w:t>3</w:t>
      </w:r>
      <w:r w:rsidRPr="00F11FE3">
        <w:rPr>
          <w:rFonts w:ascii="Verdana" w:hAnsi="Verdana" w:cstheme="minorHAnsi"/>
          <w:b/>
          <w:bCs/>
          <w:sz w:val="24"/>
          <w:szCs w:val="24"/>
          <w:vertAlign w:val="superscript"/>
          <w:lang w:val="fr-FR"/>
        </w:rPr>
        <w:t>e</w:t>
      </w:r>
      <w:r w:rsidRPr="00F11FE3">
        <w:rPr>
          <w:rFonts w:ascii="Verdana" w:hAnsi="Verdana" w:cstheme="minorHAnsi"/>
          <w:b/>
          <w:bCs/>
          <w:sz w:val="24"/>
          <w:szCs w:val="24"/>
          <w:lang w:val="fr-FR"/>
        </w:rPr>
        <w:t xml:space="preserve"> reunion régionale du Pro-ARIDES :  Des nouvelles </w:t>
      </w:r>
      <w:r w:rsidRPr="00F11FE3">
        <w:rPr>
          <w:rFonts w:ascii="Verdana" w:hAnsi="Verdana" w:cstheme="minorHAnsi"/>
          <w:b/>
          <w:bCs/>
          <w:sz w:val="24"/>
          <w:szCs w:val="24"/>
        </w:rPr>
        <w:t xml:space="preserve">orientations </w:t>
      </w:r>
      <w:r w:rsidRPr="00F11FE3">
        <w:rPr>
          <w:rFonts w:ascii="Verdana" w:hAnsi="Verdana" w:cstheme="minorHAnsi"/>
          <w:b/>
          <w:bCs/>
          <w:sz w:val="24"/>
          <w:szCs w:val="24"/>
          <w:lang w:val="fr-FR"/>
        </w:rPr>
        <w:t>pour</w:t>
      </w:r>
      <w:r w:rsidRPr="00F11FE3">
        <w:rPr>
          <w:rFonts w:ascii="Verdana" w:hAnsi="Verdana" w:cstheme="minorHAnsi"/>
          <w:b/>
          <w:bCs/>
          <w:sz w:val="24"/>
          <w:szCs w:val="24"/>
        </w:rPr>
        <w:t xml:space="preserve"> une meilleure opérationnalisation du programme</w:t>
      </w:r>
    </w:p>
    <w:p w14:paraId="2BA68C14" w14:textId="77777777" w:rsidR="00F11FE3" w:rsidRPr="00F11FE3" w:rsidRDefault="00F11FE3" w:rsidP="00F11FE3">
      <w:pPr>
        <w:keepNext/>
        <w:jc w:val="center"/>
        <w:rPr>
          <w:rFonts w:ascii="Verdana" w:hAnsi="Verdana" w:cstheme="minorHAnsi"/>
          <w:sz w:val="20"/>
          <w:szCs w:val="20"/>
        </w:rPr>
      </w:pPr>
      <w:r w:rsidRPr="00F11FE3">
        <w:rPr>
          <w:rFonts w:ascii="Verdana" w:hAnsi="Verdana" w:cstheme="minorHAnsi"/>
          <w:noProof/>
          <w:sz w:val="20"/>
          <w:szCs w:val="20"/>
        </w:rPr>
        <w:drawing>
          <wp:inline distT="0" distB="0" distL="0" distR="0" wp14:anchorId="5889975E" wp14:editId="3180E271">
            <wp:extent cx="3810000" cy="1816805"/>
            <wp:effectExtent l="0" t="0" r="0" b="0"/>
            <wp:docPr id="18578851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3287" cy="1827909"/>
                    </a:xfrm>
                    <a:prstGeom prst="rect">
                      <a:avLst/>
                    </a:prstGeom>
                    <a:noFill/>
                    <a:ln>
                      <a:noFill/>
                    </a:ln>
                  </pic:spPr>
                </pic:pic>
              </a:graphicData>
            </a:graphic>
          </wp:inline>
        </w:drawing>
      </w:r>
    </w:p>
    <w:p w14:paraId="2F58AB24" w14:textId="77777777" w:rsidR="00F11FE3" w:rsidRPr="00F11FE3" w:rsidRDefault="00F11FE3" w:rsidP="00F11FE3">
      <w:pPr>
        <w:pStyle w:val="Lgende"/>
        <w:jc w:val="center"/>
        <w:rPr>
          <w:rFonts w:ascii="Verdana" w:hAnsi="Verdana" w:cstheme="minorHAnsi"/>
          <w:b/>
          <w:bCs/>
          <w:color w:val="4472C4" w:themeColor="accent1"/>
          <w:sz w:val="20"/>
          <w:szCs w:val="20"/>
          <w:lang w:val="fr-FR"/>
        </w:rPr>
      </w:pPr>
      <w:r w:rsidRPr="00F11FE3">
        <w:rPr>
          <w:rFonts w:ascii="Verdana" w:hAnsi="Verdana" w:cstheme="minorHAnsi"/>
          <w:color w:val="4472C4" w:themeColor="accent1"/>
          <w:sz w:val="20"/>
          <w:szCs w:val="20"/>
          <w:lang w:val="fr-FR"/>
        </w:rPr>
        <w:t>Photo de famille Equipe Pro-ARIDES</w:t>
      </w:r>
    </w:p>
    <w:p w14:paraId="77AA4FAD" w14:textId="77777777" w:rsidR="00F11FE3" w:rsidRPr="00F11FE3" w:rsidRDefault="00F11FE3" w:rsidP="00F11FE3">
      <w:pPr>
        <w:rPr>
          <w:rFonts w:ascii="Verdana" w:hAnsi="Verdana" w:cstheme="minorHAnsi"/>
          <w:sz w:val="20"/>
          <w:szCs w:val="20"/>
          <w:lang w:val="fr-FR"/>
        </w:rPr>
      </w:pPr>
      <w:r w:rsidRPr="00F11FE3">
        <w:rPr>
          <w:rFonts w:ascii="Verdana" w:hAnsi="Verdana" w:cstheme="minorHAnsi"/>
          <w:sz w:val="20"/>
          <w:szCs w:val="20"/>
          <w:lang w:val="fr-FR"/>
        </w:rPr>
        <w:t>La 3</w:t>
      </w:r>
      <w:r w:rsidRPr="00F11FE3">
        <w:rPr>
          <w:rFonts w:ascii="Verdana" w:hAnsi="Verdana" w:cstheme="minorHAnsi"/>
          <w:sz w:val="20"/>
          <w:szCs w:val="20"/>
          <w:vertAlign w:val="superscript"/>
          <w:lang w:val="fr-FR"/>
        </w:rPr>
        <w:t>e</w:t>
      </w:r>
      <w:r w:rsidRPr="00F11FE3">
        <w:rPr>
          <w:rFonts w:ascii="Verdana" w:hAnsi="Verdana" w:cstheme="minorHAnsi"/>
          <w:sz w:val="20"/>
          <w:szCs w:val="20"/>
          <w:lang w:val="fr-FR"/>
        </w:rPr>
        <w:t xml:space="preserve"> reunion annuelle régionale du programme, tenue du 2 au 6 octobre 2023 à Bamako au Mali, a regroupé les membres du comité de pilotage, l’UGMP, les unités de gestion pays du Burkina, Mali et Niger, des partenaires et groupes cibles du Mali, les appuis globaux de la SNV, les donateurs du programme. </w:t>
      </w:r>
      <w:r w:rsidRPr="00F11FE3">
        <w:rPr>
          <w:rFonts w:ascii="Verdana" w:hAnsi="Verdana" w:cstheme="minorHAnsi"/>
          <w:sz w:val="20"/>
          <w:szCs w:val="20"/>
          <w:vertAlign w:val="superscript"/>
          <w:lang w:val="fr-FR"/>
        </w:rPr>
        <w:t xml:space="preserve"> </w:t>
      </w:r>
      <w:r w:rsidRPr="00F11FE3">
        <w:rPr>
          <w:rFonts w:ascii="Verdana" w:hAnsi="Verdana" w:cstheme="minorHAnsi"/>
          <w:sz w:val="20"/>
          <w:szCs w:val="20"/>
          <w:lang w:val="fr-FR"/>
        </w:rPr>
        <w:t>Une reunion qui</w:t>
      </w:r>
      <w:r w:rsidRPr="00F11FE3">
        <w:rPr>
          <w:rFonts w:ascii="Verdana" w:hAnsi="Verdana" w:cstheme="minorHAnsi"/>
          <w:sz w:val="20"/>
          <w:szCs w:val="20"/>
        </w:rPr>
        <w:t xml:space="preserve"> s’inscrit dans le cadre des activités de gouvernance de l’Unité de Gestion Multi </w:t>
      </w:r>
      <w:r w:rsidRPr="00F11FE3">
        <w:rPr>
          <w:rFonts w:ascii="Verdana" w:hAnsi="Verdana" w:cstheme="minorHAnsi"/>
          <w:sz w:val="20"/>
          <w:szCs w:val="20"/>
          <w:lang w:val="fr-FR"/>
        </w:rPr>
        <w:t xml:space="preserve">Pays </w:t>
      </w:r>
      <w:r w:rsidRPr="00F11FE3">
        <w:rPr>
          <w:rFonts w:ascii="Verdana" w:hAnsi="Verdana" w:cstheme="minorHAnsi"/>
          <w:sz w:val="20"/>
          <w:szCs w:val="20"/>
        </w:rPr>
        <w:t>(UGMP)</w:t>
      </w:r>
      <w:r w:rsidRPr="00F11FE3">
        <w:rPr>
          <w:rFonts w:ascii="Verdana" w:hAnsi="Verdana" w:cstheme="minorHAnsi"/>
          <w:sz w:val="20"/>
          <w:szCs w:val="20"/>
          <w:lang w:val="fr-FR"/>
        </w:rPr>
        <w:t xml:space="preserve"> </w:t>
      </w:r>
      <w:bookmarkStart w:id="1" w:name="_Hlk148965568"/>
      <w:r w:rsidRPr="00F11FE3">
        <w:rPr>
          <w:rFonts w:ascii="Verdana" w:hAnsi="Verdana" w:cstheme="minorHAnsi"/>
          <w:sz w:val="20"/>
          <w:szCs w:val="20"/>
          <w:lang w:val="fr-FR"/>
        </w:rPr>
        <w:t xml:space="preserve">et, </w:t>
      </w:r>
    </w:p>
    <w:bookmarkEnd w:id="1"/>
    <w:p w14:paraId="5BBFAA9D" w14:textId="77777777" w:rsidR="00F11FE3" w:rsidRPr="00F11FE3" w:rsidRDefault="00F11FE3" w:rsidP="00F11FE3">
      <w:pPr>
        <w:rPr>
          <w:rFonts w:ascii="Verdana" w:hAnsi="Verdana" w:cstheme="minorHAnsi"/>
          <w:sz w:val="20"/>
          <w:szCs w:val="20"/>
          <w:lang w:val="fr-FR"/>
        </w:rPr>
      </w:pPr>
      <w:r w:rsidRPr="00F11FE3">
        <w:rPr>
          <w:rFonts w:ascii="Verdana" w:hAnsi="Verdana" w:cstheme="minorHAnsi"/>
          <w:sz w:val="20"/>
          <w:szCs w:val="20"/>
          <w:lang w:val="fr-FR"/>
        </w:rPr>
        <w:t xml:space="preserve">L’objectif principal de cette réunion annuelle régionale est d’apprécier les réalisations, les défis et les perspectives de la mise en œuvre du programme y inclut l’atteinte des changements systémiques projetés par Pro-ARIDES. Les échanges entre les groupes cibles (représentants des CT, des OP, des VSLA et des PME/PMI) ont permis au comité de pilotage et bailleurs de mieux appréhender les défis et options de solutions pour améliorer la mise en œuvre. </w:t>
      </w:r>
    </w:p>
    <w:p w14:paraId="63013228" w14:textId="77777777" w:rsidR="00F11FE3" w:rsidRPr="00F11FE3" w:rsidRDefault="00F11FE3" w:rsidP="00F11FE3">
      <w:pPr>
        <w:rPr>
          <w:rFonts w:ascii="Verdana" w:hAnsi="Verdana" w:cstheme="minorHAnsi"/>
          <w:sz w:val="20"/>
          <w:szCs w:val="20"/>
          <w:lang w:val="fr-FR"/>
        </w:rPr>
      </w:pPr>
      <w:r w:rsidRPr="00F11FE3">
        <w:rPr>
          <w:rFonts w:ascii="Verdana" w:hAnsi="Verdana" w:cstheme="minorHAnsi"/>
          <w:sz w:val="20"/>
          <w:szCs w:val="20"/>
          <w:lang w:val="fr-FR"/>
        </w:rPr>
        <w:t xml:space="preserve">A l’issue de cette réunion des orientations stratégiques suivantes ont été retenues : </w:t>
      </w:r>
    </w:p>
    <w:p w14:paraId="3FEE22AA" w14:textId="77777777" w:rsidR="00F11FE3" w:rsidRPr="00F11FE3" w:rsidRDefault="00F11FE3" w:rsidP="00F11FE3">
      <w:pPr>
        <w:pStyle w:val="Paragraphedeliste"/>
        <w:numPr>
          <w:ilvl w:val="0"/>
          <w:numId w:val="1"/>
        </w:numPr>
        <w:rPr>
          <w:rFonts w:ascii="Verdana" w:hAnsi="Verdana" w:cstheme="minorHAnsi"/>
          <w:sz w:val="20"/>
          <w:szCs w:val="20"/>
          <w:lang w:val="fr-FR"/>
        </w:rPr>
      </w:pPr>
      <w:r w:rsidRPr="00F11FE3">
        <w:rPr>
          <w:rFonts w:ascii="Verdana" w:hAnsi="Verdana" w:cstheme="minorHAnsi"/>
          <w:b/>
          <w:bCs/>
          <w:sz w:val="20"/>
          <w:szCs w:val="20"/>
          <w:lang w:val="fr-FR"/>
        </w:rPr>
        <w:t xml:space="preserve">Renforcer l'appui de proximité pour une mise en œuvre efficace. </w:t>
      </w:r>
      <w:r w:rsidRPr="00F11FE3">
        <w:rPr>
          <w:rFonts w:ascii="Verdana" w:hAnsi="Verdana" w:cstheme="minorHAnsi"/>
          <w:sz w:val="20"/>
          <w:szCs w:val="20"/>
          <w:lang w:val="fr-FR"/>
        </w:rPr>
        <w:t>Il est essentiel de continuer à améliorer le mécanisme d'appui et d'accompagnement de proximité pour garantir une mise en œuvre efficace des activités.</w:t>
      </w:r>
    </w:p>
    <w:p w14:paraId="2DB4B072" w14:textId="77777777" w:rsidR="00F11FE3" w:rsidRPr="00F11FE3" w:rsidRDefault="00F11FE3" w:rsidP="00F11FE3">
      <w:pPr>
        <w:pStyle w:val="Paragraphedeliste"/>
        <w:numPr>
          <w:ilvl w:val="0"/>
          <w:numId w:val="1"/>
        </w:numPr>
        <w:rPr>
          <w:rFonts w:ascii="Verdana" w:hAnsi="Verdana" w:cstheme="minorHAnsi"/>
          <w:sz w:val="20"/>
          <w:szCs w:val="20"/>
          <w:lang w:val="fr-FR"/>
        </w:rPr>
      </w:pPr>
      <w:r w:rsidRPr="00F11FE3">
        <w:rPr>
          <w:rFonts w:ascii="Verdana" w:hAnsi="Verdana" w:cstheme="minorHAnsi"/>
          <w:b/>
          <w:bCs/>
          <w:sz w:val="20"/>
          <w:szCs w:val="20"/>
          <w:lang w:val="fr-FR"/>
        </w:rPr>
        <w:t>Renforcer la légitimité de la sécurisation foncière des réalisations du programme</w:t>
      </w:r>
      <w:r w:rsidRPr="00F11FE3">
        <w:rPr>
          <w:rFonts w:ascii="Verdana" w:hAnsi="Verdana" w:cstheme="minorHAnsi"/>
          <w:sz w:val="20"/>
          <w:szCs w:val="20"/>
          <w:lang w:val="fr-FR"/>
        </w:rPr>
        <w:t>. Nous recommandons de poursuivre les efforts visant à renforcer la légitimité de la sécurisation foncière en obtenant le consensus des propriétaires terriens et en garantissant leurs autorisations.</w:t>
      </w:r>
    </w:p>
    <w:p w14:paraId="07E1D358" w14:textId="77777777" w:rsidR="00F11FE3" w:rsidRPr="00F11FE3" w:rsidRDefault="00F11FE3" w:rsidP="00F11FE3">
      <w:pPr>
        <w:pStyle w:val="Paragraphedeliste"/>
        <w:numPr>
          <w:ilvl w:val="0"/>
          <w:numId w:val="1"/>
        </w:numPr>
        <w:rPr>
          <w:rFonts w:ascii="Verdana" w:hAnsi="Verdana" w:cstheme="minorHAnsi"/>
          <w:sz w:val="20"/>
          <w:szCs w:val="20"/>
          <w:lang w:val="fr-FR"/>
        </w:rPr>
      </w:pPr>
      <w:r w:rsidRPr="00F11FE3">
        <w:rPr>
          <w:rFonts w:ascii="Verdana" w:hAnsi="Verdana" w:cstheme="minorHAnsi"/>
          <w:sz w:val="20"/>
          <w:szCs w:val="20"/>
          <w:lang w:val="fr-FR"/>
        </w:rPr>
        <w:t xml:space="preserve">Evaluer la </w:t>
      </w:r>
      <w:r w:rsidRPr="00F11FE3">
        <w:rPr>
          <w:rFonts w:ascii="Verdana" w:hAnsi="Verdana" w:cstheme="minorHAnsi"/>
          <w:b/>
          <w:bCs/>
          <w:sz w:val="20"/>
          <w:szCs w:val="20"/>
          <w:lang w:val="fr-FR"/>
        </w:rPr>
        <w:t>vulnérabilité climatique</w:t>
      </w:r>
      <w:r w:rsidRPr="00F11FE3">
        <w:rPr>
          <w:rFonts w:ascii="Verdana" w:hAnsi="Verdana" w:cstheme="minorHAnsi"/>
          <w:sz w:val="20"/>
          <w:szCs w:val="20"/>
          <w:lang w:val="fr-FR"/>
        </w:rPr>
        <w:t xml:space="preserve"> au cours du premier semestre 2024. Les recommandations de l'évaluation de la vulnérabilité climatique seront utilisées pour renforcer la mise en œuvre du programme qui fournira des moyens de démontrer des liens clairs entre les risques et les vulnérabilités identifiés et l'impact du programme sur l'adaptation au climat.</w:t>
      </w:r>
    </w:p>
    <w:p w14:paraId="7D7586D8" w14:textId="77777777" w:rsidR="00F11FE3" w:rsidRPr="00F11FE3" w:rsidRDefault="00F11FE3" w:rsidP="00F11FE3">
      <w:pPr>
        <w:pStyle w:val="Paragraphedeliste"/>
        <w:numPr>
          <w:ilvl w:val="0"/>
          <w:numId w:val="1"/>
        </w:numPr>
        <w:jc w:val="both"/>
        <w:rPr>
          <w:rFonts w:ascii="Verdana" w:hAnsi="Verdana" w:cstheme="minorHAnsi"/>
          <w:sz w:val="20"/>
          <w:szCs w:val="20"/>
          <w:lang w:val="fr-FR"/>
        </w:rPr>
      </w:pPr>
      <w:r w:rsidRPr="00F11FE3">
        <w:rPr>
          <w:rFonts w:ascii="Verdana" w:hAnsi="Verdana" w:cstheme="minorHAnsi"/>
          <w:sz w:val="20"/>
          <w:szCs w:val="20"/>
          <w:lang w:val="fr-FR"/>
        </w:rPr>
        <w:t xml:space="preserve">Continuer à </w:t>
      </w:r>
      <w:r w:rsidRPr="00F11FE3">
        <w:rPr>
          <w:rFonts w:ascii="Verdana" w:hAnsi="Verdana" w:cstheme="minorHAnsi"/>
          <w:b/>
          <w:bCs/>
          <w:sz w:val="20"/>
          <w:szCs w:val="20"/>
          <w:lang w:val="fr-FR"/>
        </w:rPr>
        <w:t xml:space="preserve">accorder une attention particulière aux </w:t>
      </w:r>
      <w:bookmarkStart w:id="2" w:name="_Hlk148971025"/>
      <w:r w:rsidRPr="00F11FE3">
        <w:rPr>
          <w:rFonts w:ascii="Verdana" w:hAnsi="Verdana" w:cstheme="minorHAnsi"/>
          <w:b/>
          <w:bCs/>
          <w:sz w:val="20"/>
          <w:szCs w:val="20"/>
          <w:lang w:val="fr-FR"/>
        </w:rPr>
        <w:t xml:space="preserve">Personnes Déplacées Internes </w:t>
      </w:r>
      <w:bookmarkEnd w:id="2"/>
      <w:r w:rsidRPr="00F11FE3">
        <w:rPr>
          <w:rFonts w:ascii="Verdana" w:hAnsi="Verdana" w:cstheme="minorHAnsi"/>
          <w:b/>
          <w:bCs/>
          <w:sz w:val="20"/>
          <w:szCs w:val="20"/>
          <w:lang w:val="fr-FR"/>
        </w:rPr>
        <w:t>(PDI)</w:t>
      </w:r>
      <w:r w:rsidRPr="00F11FE3">
        <w:rPr>
          <w:rFonts w:ascii="Verdana" w:hAnsi="Verdana" w:cstheme="minorHAnsi"/>
          <w:sz w:val="20"/>
          <w:szCs w:val="20"/>
          <w:lang w:val="fr-FR"/>
        </w:rPr>
        <w:t>, tout en élargissant les activités pour promouvoir l'autosuffisance et l'accès aux ressources productives pour ces ménages.</w:t>
      </w:r>
    </w:p>
    <w:p w14:paraId="20C30F4C" w14:textId="77777777" w:rsidR="00F11FE3" w:rsidRPr="00F11FE3" w:rsidRDefault="00F11FE3" w:rsidP="00F11FE3">
      <w:pPr>
        <w:pStyle w:val="Paragraphedeliste"/>
        <w:numPr>
          <w:ilvl w:val="0"/>
          <w:numId w:val="1"/>
        </w:numPr>
        <w:jc w:val="both"/>
        <w:rPr>
          <w:rFonts w:ascii="Verdana" w:hAnsi="Verdana" w:cstheme="minorHAnsi"/>
          <w:sz w:val="20"/>
          <w:szCs w:val="20"/>
          <w:lang w:val="fr-FR"/>
        </w:rPr>
      </w:pPr>
      <w:r w:rsidRPr="00F11FE3">
        <w:rPr>
          <w:rFonts w:ascii="Verdana" w:hAnsi="Verdana" w:cstheme="minorHAnsi"/>
          <w:b/>
          <w:bCs/>
          <w:sz w:val="20"/>
          <w:szCs w:val="20"/>
          <w:lang w:val="fr-FR"/>
        </w:rPr>
        <w:t xml:space="preserve">Poursuivre le Processus de Changements Systémiques. </w:t>
      </w:r>
      <w:r w:rsidRPr="00F11FE3">
        <w:rPr>
          <w:rFonts w:ascii="Verdana" w:hAnsi="Verdana" w:cstheme="minorHAnsi"/>
          <w:sz w:val="20"/>
          <w:szCs w:val="20"/>
          <w:lang w:val="fr-FR"/>
        </w:rPr>
        <w:t xml:space="preserve">Il est important de continuer le processus visant à apporter des changements systémiques selon les priorités des pays. </w:t>
      </w:r>
    </w:p>
    <w:tbl>
      <w:tblPr>
        <w:tblStyle w:val="TableGrid1"/>
        <w:tblW w:w="9782" w:type="dxa"/>
        <w:tblInd w:w="-289" w:type="dxa"/>
        <w:tblLook w:val="04A0" w:firstRow="1" w:lastRow="0" w:firstColumn="1" w:lastColumn="0" w:noHBand="0" w:noVBand="1"/>
      </w:tblPr>
      <w:tblGrid>
        <w:gridCol w:w="6805"/>
        <w:gridCol w:w="1089"/>
        <w:gridCol w:w="942"/>
        <w:gridCol w:w="946"/>
      </w:tblGrid>
      <w:tr w:rsidR="00F11FE3" w:rsidRPr="00F11FE3" w14:paraId="07F1885C" w14:textId="77777777" w:rsidTr="004B05EB">
        <w:trPr>
          <w:cnfStyle w:val="100000000000" w:firstRow="1" w:lastRow="0" w:firstColumn="0" w:lastColumn="0" w:oddVBand="0" w:evenVBand="0" w:oddHBand="0" w:evenHBand="0" w:firstRowFirstColumn="0" w:firstRowLastColumn="0" w:lastRowFirstColumn="0" w:lastRowLastColumn="0"/>
        </w:trPr>
        <w:tc>
          <w:tcPr>
            <w:tcW w:w="6932" w:type="dxa"/>
            <w:vAlign w:val="center"/>
          </w:tcPr>
          <w:p w14:paraId="762E8FC7" w14:textId="77777777" w:rsidR="00F11FE3" w:rsidRPr="00F11FE3" w:rsidRDefault="00F11FE3" w:rsidP="004B05EB">
            <w:pPr>
              <w:rPr>
                <w:rFonts w:cstheme="minorHAnsi"/>
                <w:b/>
                <w:bCs/>
                <w:sz w:val="20"/>
                <w:lang w:val="fr-FR"/>
              </w:rPr>
            </w:pPr>
            <w:r w:rsidRPr="00F11FE3">
              <w:rPr>
                <w:rFonts w:cstheme="minorHAnsi"/>
                <w:b/>
                <w:bCs/>
                <w:sz w:val="20"/>
                <w:lang w:val="fr-FR"/>
              </w:rPr>
              <w:t>Choix prioritaires de changement systémique</w:t>
            </w:r>
          </w:p>
        </w:tc>
        <w:tc>
          <w:tcPr>
            <w:tcW w:w="950" w:type="dxa"/>
            <w:vAlign w:val="center"/>
          </w:tcPr>
          <w:p w14:paraId="734EB5D5" w14:textId="77777777" w:rsidR="00F11FE3" w:rsidRPr="00F11FE3" w:rsidRDefault="00F11FE3" w:rsidP="004B05EB">
            <w:pPr>
              <w:jc w:val="center"/>
              <w:rPr>
                <w:rFonts w:cstheme="minorHAnsi"/>
                <w:b/>
                <w:bCs/>
                <w:sz w:val="20"/>
                <w:lang w:val="fr-FR"/>
              </w:rPr>
            </w:pPr>
            <w:r w:rsidRPr="00F11FE3">
              <w:rPr>
                <w:rFonts w:cstheme="minorHAnsi"/>
                <w:b/>
                <w:bCs/>
                <w:sz w:val="20"/>
                <w:lang w:val="fr-FR"/>
              </w:rPr>
              <w:t>Burkina</w:t>
            </w:r>
          </w:p>
        </w:tc>
        <w:tc>
          <w:tcPr>
            <w:tcW w:w="950" w:type="dxa"/>
            <w:vAlign w:val="center"/>
          </w:tcPr>
          <w:p w14:paraId="2DA2A5FD" w14:textId="77777777" w:rsidR="00F11FE3" w:rsidRPr="00F11FE3" w:rsidRDefault="00F11FE3" w:rsidP="004B05EB">
            <w:pPr>
              <w:jc w:val="center"/>
              <w:rPr>
                <w:rFonts w:cstheme="minorHAnsi"/>
                <w:b/>
                <w:bCs/>
                <w:sz w:val="20"/>
                <w:lang w:val="fr-FR"/>
              </w:rPr>
            </w:pPr>
            <w:r w:rsidRPr="00F11FE3">
              <w:rPr>
                <w:rFonts w:cstheme="minorHAnsi"/>
                <w:b/>
                <w:bCs/>
                <w:sz w:val="20"/>
                <w:lang w:val="fr-FR"/>
              </w:rPr>
              <w:t>Mali</w:t>
            </w:r>
          </w:p>
        </w:tc>
        <w:tc>
          <w:tcPr>
            <w:tcW w:w="950" w:type="dxa"/>
            <w:vAlign w:val="center"/>
          </w:tcPr>
          <w:p w14:paraId="53C6AD41" w14:textId="77777777" w:rsidR="00F11FE3" w:rsidRPr="00F11FE3" w:rsidRDefault="00F11FE3" w:rsidP="004B05EB">
            <w:pPr>
              <w:jc w:val="center"/>
              <w:rPr>
                <w:rFonts w:cstheme="minorHAnsi"/>
                <w:b/>
                <w:bCs/>
                <w:sz w:val="20"/>
                <w:lang w:val="fr-FR"/>
              </w:rPr>
            </w:pPr>
            <w:r w:rsidRPr="00F11FE3">
              <w:rPr>
                <w:rFonts w:cstheme="minorHAnsi"/>
                <w:b/>
                <w:bCs/>
                <w:sz w:val="20"/>
                <w:lang w:val="fr-FR"/>
              </w:rPr>
              <w:t>Niger</w:t>
            </w:r>
          </w:p>
        </w:tc>
      </w:tr>
      <w:tr w:rsidR="00F11FE3" w:rsidRPr="00F11FE3" w14:paraId="20BB9F8D" w14:textId="77777777" w:rsidTr="004B05EB">
        <w:tc>
          <w:tcPr>
            <w:tcW w:w="6932" w:type="dxa"/>
            <w:vAlign w:val="center"/>
          </w:tcPr>
          <w:p w14:paraId="5808DA8E" w14:textId="77777777" w:rsidR="00F11FE3" w:rsidRPr="00F11FE3" w:rsidRDefault="00F11FE3" w:rsidP="004B05EB">
            <w:pPr>
              <w:rPr>
                <w:rFonts w:cstheme="minorHAnsi"/>
                <w:sz w:val="20"/>
                <w:lang w:val="fr-FR"/>
              </w:rPr>
            </w:pPr>
            <w:r w:rsidRPr="00F11FE3">
              <w:rPr>
                <w:rFonts w:cstheme="minorHAnsi"/>
                <w:sz w:val="20"/>
                <w:lang w:val="fr-FR"/>
              </w:rPr>
              <w:t xml:space="preserve">Appropriation par, ou C.A.P. des ménages agricoles et (agro-) pastoraux </w:t>
            </w:r>
            <w:r w:rsidRPr="00F11FE3">
              <w:rPr>
                <w:rFonts w:cstheme="minorHAnsi"/>
                <w:sz w:val="20"/>
                <w:highlight w:val="white"/>
                <w:lang w:val="fr-FR"/>
              </w:rPr>
              <w:t>des pratiques et techniques agro-</w:t>
            </w:r>
            <w:proofErr w:type="spellStart"/>
            <w:r w:rsidRPr="00F11FE3">
              <w:rPr>
                <w:rFonts w:cstheme="minorHAnsi"/>
                <w:sz w:val="20"/>
                <w:highlight w:val="white"/>
                <w:lang w:val="fr-FR"/>
              </w:rPr>
              <w:t>sylvo</w:t>
            </w:r>
            <w:proofErr w:type="spellEnd"/>
            <w:r w:rsidRPr="00F11FE3">
              <w:rPr>
                <w:rFonts w:cstheme="minorHAnsi"/>
                <w:sz w:val="20"/>
                <w:highlight w:val="white"/>
                <w:lang w:val="fr-FR"/>
              </w:rPr>
              <w:t>-pastorales et –alimentaires-nutritionnelles</w:t>
            </w:r>
            <w:r w:rsidRPr="00F11FE3">
              <w:rPr>
                <w:rFonts w:cstheme="minorHAnsi"/>
                <w:sz w:val="20"/>
                <w:lang w:val="fr-FR"/>
              </w:rPr>
              <w:t xml:space="preserve"> (cadre de nutrition familiale), en </w:t>
            </w:r>
            <w:r w:rsidRPr="00F11FE3">
              <w:rPr>
                <w:rFonts w:cstheme="minorHAnsi"/>
                <w:sz w:val="20"/>
                <w:lang w:val="fr-FR"/>
              </w:rPr>
              <w:lastRenderedPageBreak/>
              <w:t xml:space="preserve">faveur des produits locaux </w:t>
            </w:r>
          </w:p>
        </w:tc>
        <w:tc>
          <w:tcPr>
            <w:tcW w:w="950" w:type="dxa"/>
            <w:shd w:val="clear" w:color="auto" w:fill="00B0F0"/>
            <w:vAlign w:val="center"/>
          </w:tcPr>
          <w:p w14:paraId="66B56F12" w14:textId="77777777" w:rsidR="00F11FE3" w:rsidRPr="00F11FE3" w:rsidRDefault="00F11FE3" w:rsidP="004B05EB">
            <w:pPr>
              <w:rPr>
                <w:rFonts w:cstheme="minorHAnsi"/>
                <w:sz w:val="20"/>
                <w:lang w:val="fr-FR"/>
              </w:rPr>
            </w:pPr>
          </w:p>
        </w:tc>
        <w:tc>
          <w:tcPr>
            <w:tcW w:w="950" w:type="dxa"/>
            <w:shd w:val="clear" w:color="auto" w:fill="00B0F0"/>
            <w:vAlign w:val="center"/>
          </w:tcPr>
          <w:p w14:paraId="5972FE8C" w14:textId="77777777" w:rsidR="00F11FE3" w:rsidRPr="00F11FE3" w:rsidRDefault="00F11FE3" w:rsidP="004B05EB">
            <w:pPr>
              <w:rPr>
                <w:rFonts w:cstheme="minorHAnsi"/>
                <w:sz w:val="20"/>
                <w:lang w:val="fr-FR"/>
              </w:rPr>
            </w:pPr>
          </w:p>
        </w:tc>
        <w:tc>
          <w:tcPr>
            <w:tcW w:w="950" w:type="dxa"/>
            <w:shd w:val="clear" w:color="auto" w:fill="00B0F0"/>
            <w:vAlign w:val="center"/>
          </w:tcPr>
          <w:p w14:paraId="2B9C281D" w14:textId="77777777" w:rsidR="00F11FE3" w:rsidRPr="00F11FE3" w:rsidRDefault="00F11FE3" w:rsidP="004B05EB">
            <w:pPr>
              <w:rPr>
                <w:rFonts w:cstheme="minorHAnsi"/>
                <w:sz w:val="20"/>
                <w:lang w:val="fr-FR"/>
              </w:rPr>
            </w:pPr>
          </w:p>
        </w:tc>
      </w:tr>
      <w:tr w:rsidR="00F11FE3" w:rsidRPr="00F11FE3" w14:paraId="56446F5F" w14:textId="77777777" w:rsidTr="004B05EB">
        <w:tc>
          <w:tcPr>
            <w:tcW w:w="6932" w:type="dxa"/>
            <w:vAlign w:val="center"/>
          </w:tcPr>
          <w:p w14:paraId="58E4B4D8" w14:textId="77777777" w:rsidR="00F11FE3" w:rsidRPr="00F11FE3" w:rsidRDefault="00F11FE3" w:rsidP="004B05EB">
            <w:pPr>
              <w:rPr>
                <w:rFonts w:cstheme="minorHAnsi"/>
                <w:sz w:val="20"/>
                <w:lang w:val="fr-FR"/>
              </w:rPr>
            </w:pPr>
            <w:r w:rsidRPr="00F11FE3">
              <w:rPr>
                <w:rFonts w:cstheme="minorHAnsi"/>
                <w:sz w:val="20"/>
                <w:highlight w:val="white"/>
                <w:lang w:val="fr-FR"/>
              </w:rPr>
              <w:t xml:space="preserve">Professionnalisation &amp; meilleure performance des OP (mixte, de femmes) : facilitation des services, réelle représentation des membres, gestion et respect des procédures &amp; textes </w:t>
            </w:r>
          </w:p>
        </w:tc>
        <w:tc>
          <w:tcPr>
            <w:tcW w:w="950" w:type="dxa"/>
            <w:shd w:val="clear" w:color="auto" w:fill="00B0F0"/>
            <w:vAlign w:val="center"/>
          </w:tcPr>
          <w:p w14:paraId="58FAAD64" w14:textId="77777777" w:rsidR="00F11FE3" w:rsidRPr="00F11FE3" w:rsidRDefault="00F11FE3" w:rsidP="004B05EB">
            <w:pPr>
              <w:rPr>
                <w:rFonts w:cstheme="minorHAnsi"/>
                <w:sz w:val="20"/>
                <w:lang w:val="fr-FR"/>
              </w:rPr>
            </w:pPr>
          </w:p>
        </w:tc>
        <w:tc>
          <w:tcPr>
            <w:tcW w:w="950" w:type="dxa"/>
            <w:shd w:val="clear" w:color="auto" w:fill="D9E2F3" w:themeFill="accent1" w:themeFillTint="33"/>
            <w:vAlign w:val="center"/>
          </w:tcPr>
          <w:p w14:paraId="23DAB6E3" w14:textId="77777777" w:rsidR="00F11FE3" w:rsidRPr="00F11FE3" w:rsidRDefault="00F11FE3" w:rsidP="004B05EB">
            <w:pPr>
              <w:rPr>
                <w:rFonts w:cstheme="minorHAnsi"/>
                <w:sz w:val="20"/>
                <w:lang w:val="fr-FR"/>
              </w:rPr>
            </w:pPr>
          </w:p>
        </w:tc>
        <w:tc>
          <w:tcPr>
            <w:tcW w:w="950" w:type="dxa"/>
            <w:shd w:val="clear" w:color="auto" w:fill="00B0F0"/>
            <w:vAlign w:val="center"/>
          </w:tcPr>
          <w:p w14:paraId="18A6E8FA" w14:textId="77777777" w:rsidR="00F11FE3" w:rsidRPr="00F11FE3" w:rsidRDefault="00F11FE3" w:rsidP="004B05EB">
            <w:pPr>
              <w:rPr>
                <w:rFonts w:cstheme="minorHAnsi"/>
                <w:sz w:val="20"/>
                <w:lang w:val="fr-FR"/>
              </w:rPr>
            </w:pPr>
          </w:p>
        </w:tc>
      </w:tr>
      <w:tr w:rsidR="00F11FE3" w:rsidRPr="00F11FE3" w14:paraId="72BD6403" w14:textId="77777777" w:rsidTr="004B05EB">
        <w:tc>
          <w:tcPr>
            <w:tcW w:w="6932" w:type="dxa"/>
            <w:vAlign w:val="center"/>
          </w:tcPr>
          <w:p w14:paraId="1A718454" w14:textId="77777777" w:rsidR="00F11FE3" w:rsidRPr="00F11FE3" w:rsidRDefault="00F11FE3" w:rsidP="004B05EB">
            <w:pPr>
              <w:rPr>
                <w:rFonts w:cstheme="minorHAnsi"/>
                <w:sz w:val="20"/>
                <w:lang w:val="fr-FR"/>
              </w:rPr>
            </w:pPr>
            <w:r w:rsidRPr="00F11FE3">
              <w:rPr>
                <w:rFonts w:cstheme="minorHAnsi"/>
                <w:sz w:val="20"/>
                <w:highlight w:val="white"/>
                <w:lang w:val="fr-FR"/>
              </w:rPr>
              <w:t>Système des services appropriés : appuis-conseils (agro-pastoraux) adaptés aux ménages et aux OP/ OCB, par adéquation entre offres et demandes, et par relations équitables entre OP, OF et fournisseurs des services</w:t>
            </w:r>
            <w:r w:rsidRPr="00F11FE3">
              <w:rPr>
                <w:rFonts w:cstheme="minorHAnsi"/>
                <w:sz w:val="20"/>
                <w:lang w:val="fr-FR"/>
              </w:rPr>
              <w:t xml:space="preserve"> privés/ PME</w:t>
            </w:r>
          </w:p>
        </w:tc>
        <w:tc>
          <w:tcPr>
            <w:tcW w:w="950" w:type="dxa"/>
            <w:shd w:val="clear" w:color="auto" w:fill="D9E2F3" w:themeFill="accent1" w:themeFillTint="33"/>
            <w:vAlign w:val="center"/>
          </w:tcPr>
          <w:p w14:paraId="0FEE44D0" w14:textId="77777777" w:rsidR="00F11FE3" w:rsidRPr="00F11FE3" w:rsidRDefault="00F11FE3" w:rsidP="004B05EB">
            <w:pPr>
              <w:rPr>
                <w:rFonts w:cstheme="minorHAnsi"/>
                <w:sz w:val="20"/>
                <w:lang w:val="fr-FR"/>
              </w:rPr>
            </w:pPr>
          </w:p>
        </w:tc>
        <w:tc>
          <w:tcPr>
            <w:tcW w:w="950" w:type="dxa"/>
            <w:shd w:val="clear" w:color="auto" w:fill="00B0F0"/>
            <w:vAlign w:val="center"/>
          </w:tcPr>
          <w:p w14:paraId="42D29F2D" w14:textId="77777777" w:rsidR="00F11FE3" w:rsidRPr="00F11FE3" w:rsidRDefault="00F11FE3" w:rsidP="004B05EB">
            <w:pPr>
              <w:rPr>
                <w:rFonts w:cstheme="minorHAnsi"/>
                <w:sz w:val="20"/>
                <w:lang w:val="fr-FR"/>
              </w:rPr>
            </w:pPr>
          </w:p>
        </w:tc>
        <w:tc>
          <w:tcPr>
            <w:tcW w:w="950" w:type="dxa"/>
            <w:shd w:val="clear" w:color="auto" w:fill="00B0F0"/>
            <w:vAlign w:val="center"/>
          </w:tcPr>
          <w:p w14:paraId="2531635B" w14:textId="77777777" w:rsidR="00F11FE3" w:rsidRPr="00F11FE3" w:rsidRDefault="00F11FE3" w:rsidP="004B05EB">
            <w:pPr>
              <w:rPr>
                <w:rFonts w:cstheme="minorHAnsi"/>
                <w:sz w:val="20"/>
                <w:lang w:val="fr-FR"/>
              </w:rPr>
            </w:pPr>
          </w:p>
        </w:tc>
      </w:tr>
      <w:tr w:rsidR="00F11FE3" w:rsidRPr="00F11FE3" w14:paraId="762020EA" w14:textId="77777777" w:rsidTr="004B05EB">
        <w:tc>
          <w:tcPr>
            <w:tcW w:w="6932" w:type="dxa"/>
            <w:vAlign w:val="center"/>
          </w:tcPr>
          <w:p w14:paraId="66B2ABA4" w14:textId="77777777" w:rsidR="00F11FE3" w:rsidRPr="00F11FE3" w:rsidRDefault="00F11FE3" w:rsidP="004B05EB">
            <w:pPr>
              <w:rPr>
                <w:rFonts w:cstheme="minorHAnsi"/>
                <w:sz w:val="20"/>
                <w:lang w:val="fr-FR"/>
              </w:rPr>
            </w:pPr>
            <w:r w:rsidRPr="00F11FE3">
              <w:rPr>
                <w:rFonts w:cstheme="minorHAnsi"/>
                <w:sz w:val="20"/>
                <w:highlight w:val="white"/>
                <w:lang w:val="fr-FR"/>
              </w:rPr>
              <w:t xml:space="preserve">Professionnalisation des PME : </w:t>
            </w:r>
            <w:r w:rsidRPr="00F11FE3">
              <w:rPr>
                <w:rFonts w:cstheme="minorHAnsi"/>
                <w:sz w:val="20"/>
                <w:lang w:val="fr-FR"/>
              </w:rPr>
              <w:t xml:space="preserve">émergence des PME et fournisseurs privés locaux et durables </w:t>
            </w:r>
          </w:p>
        </w:tc>
        <w:tc>
          <w:tcPr>
            <w:tcW w:w="950" w:type="dxa"/>
            <w:shd w:val="clear" w:color="auto" w:fill="00B0F0"/>
            <w:vAlign w:val="center"/>
          </w:tcPr>
          <w:p w14:paraId="6F6FA9C9" w14:textId="77777777" w:rsidR="00F11FE3" w:rsidRPr="00F11FE3" w:rsidRDefault="00F11FE3" w:rsidP="004B05EB">
            <w:pPr>
              <w:rPr>
                <w:rFonts w:cstheme="minorHAnsi"/>
                <w:sz w:val="20"/>
                <w:lang w:val="fr-FR"/>
              </w:rPr>
            </w:pPr>
          </w:p>
        </w:tc>
        <w:tc>
          <w:tcPr>
            <w:tcW w:w="950" w:type="dxa"/>
            <w:shd w:val="clear" w:color="auto" w:fill="D9E2F3" w:themeFill="accent1" w:themeFillTint="33"/>
            <w:vAlign w:val="center"/>
          </w:tcPr>
          <w:p w14:paraId="29D183D9" w14:textId="77777777" w:rsidR="00F11FE3" w:rsidRPr="00F11FE3" w:rsidRDefault="00F11FE3" w:rsidP="004B05EB">
            <w:pPr>
              <w:rPr>
                <w:rFonts w:cstheme="minorHAnsi"/>
                <w:sz w:val="20"/>
                <w:lang w:val="fr-FR"/>
              </w:rPr>
            </w:pPr>
          </w:p>
        </w:tc>
        <w:tc>
          <w:tcPr>
            <w:tcW w:w="950" w:type="dxa"/>
            <w:vAlign w:val="center"/>
          </w:tcPr>
          <w:p w14:paraId="65BBF12C" w14:textId="77777777" w:rsidR="00F11FE3" w:rsidRPr="00F11FE3" w:rsidRDefault="00F11FE3" w:rsidP="004B05EB">
            <w:pPr>
              <w:rPr>
                <w:rFonts w:cstheme="minorHAnsi"/>
                <w:sz w:val="20"/>
                <w:lang w:val="fr-FR"/>
              </w:rPr>
            </w:pPr>
          </w:p>
        </w:tc>
      </w:tr>
      <w:tr w:rsidR="00F11FE3" w:rsidRPr="00F11FE3" w14:paraId="2F950D0E" w14:textId="77777777" w:rsidTr="004B05EB">
        <w:tc>
          <w:tcPr>
            <w:tcW w:w="6932" w:type="dxa"/>
            <w:vAlign w:val="center"/>
          </w:tcPr>
          <w:p w14:paraId="499B9B7B" w14:textId="77777777" w:rsidR="00F11FE3" w:rsidRPr="00F11FE3" w:rsidRDefault="00F11FE3" w:rsidP="004B05EB">
            <w:pPr>
              <w:rPr>
                <w:rFonts w:cstheme="minorHAnsi"/>
                <w:sz w:val="20"/>
                <w:lang w:val="fr-FR"/>
              </w:rPr>
            </w:pPr>
            <w:r w:rsidRPr="00F11FE3">
              <w:rPr>
                <w:rFonts w:cstheme="minorHAnsi"/>
                <w:sz w:val="20"/>
                <w:highlight w:val="white"/>
                <w:lang w:val="fr-FR"/>
              </w:rPr>
              <w:t>Auto- et co-financement par les ménages et par OP et des services rendu</w:t>
            </w:r>
            <w:r w:rsidRPr="00F11FE3">
              <w:rPr>
                <w:rFonts w:cstheme="minorHAnsi"/>
                <w:sz w:val="20"/>
                <w:lang w:val="fr-FR"/>
              </w:rPr>
              <w:t xml:space="preserve">s (‘fin de l’assistanat’) </w:t>
            </w:r>
          </w:p>
        </w:tc>
        <w:tc>
          <w:tcPr>
            <w:tcW w:w="950" w:type="dxa"/>
            <w:shd w:val="clear" w:color="auto" w:fill="00B0F0"/>
            <w:vAlign w:val="center"/>
          </w:tcPr>
          <w:p w14:paraId="71A89BDE" w14:textId="77777777" w:rsidR="00F11FE3" w:rsidRPr="00F11FE3" w:rsidRDefault="00F11FE3" w:rsidP="004B05EB">
            <w:pPr>
              <w:rPr>
                <w:rFonts w:cstheme="minorHAnsi"/>
                <w:sz w:val="20"/>
                <w:lang w:val="fr-FR"/>
              </w:rPr>
            </w:pPr>
          </w:p>
        </w:tc>
        <w:tc>
          <w:tcPr>
            <w:tcW w:w="950" w:type="dxa"/>
            <w:vAlign w:val="center"/>
          </w:tcPr>
          <w:p w14:paraId="6C7079D9" w14:textId="77777777" w:rsidR="00F11FE3" w:rsidRPr="00F11FE3" w:rsidRDefault="00F11FE3" w:rsidP="004B05EB">
            <w:pPr>
              <w:rPr>
                <w:rFonts w:cstheme="minorHAnsi"/>
                <w:sz w:val="20"/>
                <w:lang w:val="fr-FR"/>
              </w:rPr>
            </w:pPr>
          </w:p>
        </w:tc>
        <w:tc>
          <w:tcPr>
            <w:tcW w:w="950" w:type="dxa"/>
            <w:shd w:val="clear" w:color="auto" w:fill="00B0F0"/>
            <w:vAlign w:val="center"/>
          </w:tcPr>
          <w:p w14:paraId="31FF70BF" w14:textId="77777777" w:rsidR="00F11FE3" w:rsidRPr="00F11FE3" w:rsidRDefault="00F11FE3" w:rsidP="004B05EB">
            <w:pPr>
              <w:rPr>
                <w:rFonts w:cstheme="minorHAnsi"/>
                <w:sz w:val="20"/>
                <w:lang w:val="fr-FR"/>
              </w:rPr>
            </w:pPr>
          </w:p>
        </w:tc>
      </w:tr>
      <w:tr w:rsidR="00F11FE3" w:rsidRPr="00F11FE3" w14:paraId="5DF372E0" w14:textId="77777777" w:rsidTr="004B05EB">
        <w:tc>
          <w:tcPr>
            <w:tcW w:w="6932" w:type="dxa"/>
            <w:vAlign w:val="center"/>
          </w:tcPr>
          <w:p w14:paraId="0422985F" w14:textId="77777777" w:rsidR="00F11FE3" w:rsidRPr="00F11FE3" w:rsidRDefault="00F11FE3" w:rsidP="004B05EB">
            <w:pPr>
              <w:rPr>
                <w:rFonts w:cstheme="minorHAnsi"/>
                <w:sz w:val="20"/>
                <w:lang w:val="fr-FR"/>
              </w:rPr>
            </w:pPr>
            <w:r w:rsidRPr="00F11FE3">
              <w:rPr>
                <w:rFonts w:cstheme="minorHAnsi"/>
                <w:sz w:val="20"/>
                <w:highlight w:val="white"/>
                <w:lang w:val="fr-FR"/>
              </w:rPr>
              <w:t xml:space="preserve">Meilleure performance des </w:t>
            </w:r>
            <w:proofErr w:type="spellStart"/>
            <w:r w:rsidRPr="00F11FE3">
              <w:rPr>
                <w:rFonts w:cstheme="minorHAnsi"/>
                <w:sz w:val="20"/>
                <w:highlight w:val="white"/>
                <w:lang w:val="fr-FR"/>
              </w:rPr>
              <w:t>CoFo</w:t>
            </w:r>
            <w:proofErr w:type="spellEnd"/>
            <w:r w:rsidRPr="00F11FE3">
              <w:rPr>
                <w:rFonts w:cstheme="minorHAnsi"/>
                <w:sz w:val="20"/>
                <w:highlight w:val="white"/>
                <w:lang w:val="fr-FR"/>
              </w:rPr>
              <w:t xml:space="preserve"> &amp; instances de GRN, qui inclut la participation et la redevabilité vers groupes socio-fonciers</w:t>
            </w:r>
            <w:r w:rsidRPr="00F11FE3">
              <w:rPr>
                <w:rFonts w:cstheme="minorHAnsi"/>
                <w:sz w:val="20"/>
                <w:lang w:val="fr-FR"/>
              </w:rPr>
              <w:t xml:space="preserve"> </w:t>
            </w:r>
          </w:p>
        </w:tc>
        <w:tc>
          <w:tcPr>
            <w:tcW w:w="950" w:type="dxa"/>
            <w:shd w:val="clear" w:color="auto" w:fill="FFFFFF" w:themeFill="background1"/>
            <w:vAlign w:val="center"/>
          </w:tcPr>
          <w:p w14:paraId="3E3C3686" w14:textId="77777777" w:rsidR="00F11FE3" w:rsidRPr="00F11FE3" w:rsidRDefault="00F11FE3" w:rsidP="004B05EB">
            <w:pPr>
              <w:rPr>
                <w:rFonts w:cstheme="minorHAnsi"/>
                <w:sz w:val="20"/>
                <w:lang w:val="fr-FR"/>
              </w:rPr>
            </w:pPr>
          </w:p>
        </w:tc>
        <w:tc>
          <w:tcPr>
            <w:tcW w:w="950" w:type="dxa"/>
            <w:shd w:val="clear" w:color="auto" w:fill="FFFFFF" w:themeFill="background1"/>
            <w:vAlign w:val="center"/>
          </w:tcPr>
          <w:p w14:paraId="27048D7F" w14:textId="77777777" w:rsidR="00F11FE3" w:rsidRPr="00F11FE3" w:rsidRDefault="00F11FE3" w:rsidP="004B05EB">
            <w:pPr>
              <w:rPr>
                <w:rFonts w:cstheme="minorHAnsi"/>
                <w:sz w:val="20"/>
                <w:lang w:val="fr-FR"/>
              </w:rPr>
            </w:pPr>
          </w:p>
        </w:tc>
        <w:tc>
          <w:tcPr>
            <w:tcW w:w="950" w:type="dxa"/>
            <w:shd w:val="clear" w:color="auto" w:fill="00B0F0"/>
            <w:vAlign w:val="center"/>
          </w:tcPr>
          <w:p w14:paraId="74B4FA4E" w14:textId="77777777" w:rsidR="00F11FE3" w:rsidRPr="00F11FE3" w:rsidRDefault="00F11FE3" w:rsidP="004B05EB">
            <w:pPr>
              <w:rPr>
                <w:rFonts w:cstheme="minorHAnsi"/>
                <w:sz w:val="20"/>
                <w:lang w:val="fr-FR"/>
              </w:rPr>
            </w:pPr>
          </w:p>
        </w:tc>
      </w:tr>
      <w:tr w:rsidR="00F11FE3" w:rsidRPr="00F11FE3" w14:paraId="613D15EC" w14:textId="77777777" w:rsidTr="004B05EB">
        <w:tc>
          <w:tcPr>
            <w:tcW w:w="6932" w:type="dxa"/>
            <w:vAlign w:val="center"/>
          </w:tcPr>
          <w:p w14:paraId="5F8AF4FB" w14:textId="77777777" w:rsidR="00F11FE3" w:rsidRPr="00F11FE3" w:rsidRDefault="00F11FE3" w:rsidP="004B05EB">
            <w:pPr>
              <w:rPr>
                <w:rFonts w:cstheme="minorHAnsi"/>
                <w:sz w:val="20"/>
                <w:highlight w:val="white"/>
                <w:lang w:val="fr-FR"/>
              </w:rPr>
            </w:pPr>
            <w:r w:rsidRPr="00F11FE3">
              <w:rPr>
                <w:rFonts w:cstheme="minorHAnsi"/>
                <w:sz w:val="20"/>
                <w:lang w:val="fr-FR"/>
              </w:rPr>
              <w:t xml:space="preserve">Accessibilité aux, et valorisation par groupes usagers des mécanismes et outils endogènes/coutumiers et –modernes de sécurisation foncières, accompagnée des familiarisation ou socialisation par les groupes usagers et parties prenantes </w:t>
            </w:r>
          </w:p>
        </w:tc>
        <w:tc>
          <w:tcPr>
            <w:tcW w:w="950" w:type="dxa"/>
            <w:shd w:val="clear" w:color="auto" w:fill="00B0F0"/>
            <w:vAlign w:val="center"/>
          </w:tcPr>
          <w:p w14:paraId="70E539D1" w14:textId="77777777" w:rsidR="00F11FE3" w:rsidRPr="00F11FE3" w:rsidRDefault="00F11FE3" w:rsidP="004B05EB">
            <w:pPr>
              <w:rPr>
                <w:rFonts w:cstheme="minorHAnsi"/>
                <w:sz w:val="20"/>
                <w:lang w:val="fr-FR"/>
              </w:rPr>
            </w:pPr>
          </w:p>
        </w:tc>
        <w:tc>
          <w:tcPr>
            <w:tcW w:w="950" w:type="dxa"/>
            <w:shd w:val="clear" w:color="auto" w:fill="00B0F0"/>
            <w:vAlign w:val="center"/>
          </w:tcPr>
          <w:p w14:paraId="24E7F1B3" w14:textId="77777777" w:rsidR="00F11FE3" w:rsidRPr="00F11FE3" w:rsidRDefault="00F11FE3" w:rsidP="004B05EB">
            <w:pPr>
              <w:rPr>
                <w:rFonts w:cstheme="minorHAnsi"/>
                <w:sz w:val="20"/>
                <w:lang w:val="fr-FR"/>
              </w:rPr>
            </w:pPr>
          </w:p>
        </w:tc>
        <w:tc>
          <w:tcPr>
            <w:tcW w:w="950" w:type="dxa"/>
            <w:shd w:val="clear" w:color="auto" w:fill="FFFFFF" w:themeFill="background1"/>
            <w:vAlign w:val="center"/>
          </w:tcPr>
          <w:p w14:paraId="713033B8" w14:textId="77777777" w:rsidR="00F11FE3" w:rsidRPr="00F11FE3" w:rsidRDefault="00F11FE3" w:rsidP="004B05EB">
            <w:pPr>
              <w:rPr>
                <w:rFonts w:cstheme="minorHAnsi"/>
                <w:sz w:val="20"/>
                <w:lang w:val="fr-FR"/>
              </w:rPr>
            </w:pPr>
          </w:p>
        </w:tc>
      </w:tr>
      <w:tr w:rsidR="00F11FE3" w:rsidRPr="00F11FE3" w14:paraId="50CA560A" w14:textId="77777777" w:rsidTr="004B05EB">
        <w:tc>
          <w:tcPr>
            <w:tcW w:w="6932" w:type="dxa"/>
            <w:vAlign w:val="center"/>
          </w:tcPr>
          <w:p w14:paraId="7F7EF724" w14:textId="77777777" w:rsidR="00F11FE3" w:rsidRPr="00F11FE3" w:rsidRDefault="00F11FE3" w:rsidP="004B05EB">
            <w:pPr>
              <w:rPr>
                <w:rFonts w:cstheme="minorHAnsi"/>
                <w:sz w:val="20"/>
                <w:lang w:val="fr-FR"/>
              </w:rPr>
            </w:pPr>
            <w:r w:rsidRPr="00F11FE3">
              <w:rPr>
                <w:rFonts w:cstheme="minorHAnsi"/>
                <w:sz w:val="20"/>
                <w:lang w:val="fr-FR"/>
              </w:rPr>
              <w:t>Cycle de planification- mise en œuvre- suivi-évaluation- reddition de compte cohérent et concerté, et meilleure coordination des actions du développement local dans le secteur agro-</w:t>
            </w:r>
            <w:proofErr w:type="spellStart"/>
            <w:r w:rsidRPr="00F11FE3">
              <w:rPr>
                <w:rFonts w:cstheme="minorHAnsi"/>
                <w:sz w:val="20"/>
                <w:lang w:val="fr-FR"/>
              </w:rPr>
              <w:t>sylvo</w:t>
            </w:r>
            <w:proofErr w:type="spellEnd"/>
            <w:r w:rsidRPr="00F11FE3">
              <w:rPr>
                <w:rFonts w:cstheme="minorHAnsi"/>
                <w:sz w:val="20"/>
                <w:lang w:val="fr-FR"/>
              </w:rPr>
              <w:t xml:space="preserve">-pastoral par les collectivités territoriales </w:t>
            </w:r>
          </w:p>
        </w:tc>
        <w:tc>
          <w:tcPr>
            <w:tcW w:w="950" w:type="dxa"/>
            <w:shd w:val="clear" w:color="auto" w:fill="00B0F0"/>
            <w:vAlign w:val="center"/>
          </w:tcPr>
          <w:p w14:paraId="44DC1C4F" w14:textId="77777777" w:rsidR="00F11FE3" w:rsidRPr="00F11FE3" w:rsidRDefault="00F11FE3" w:rsidP="004B05EB">
            <w:pPr>
              <w:rPr>
                <w:rFonts w:cstheme="minorHAnsi"/>
                <w:sz w:val="20"/>
                <w:lang w:val="fr-FR"/>
              </w:rPr>
            </w:pPr>
          </w:p>
        </w:tc>
        <w:tc>
          <w:tcPr>
            <w:tcW w:w="950" w:type="dxa"/>
            <w:shd w:val="clear" w:color="auto" w:fill="00B0F0"/>
            <w:vAlign w:val="center"/>
          </w:tcPr>
          <w:p w14:paraId="4B36E2D5" w14:textId="77777777" w:rsidR="00F11FE3" w:rsidRPr="00F11FE3" w:rsidRDefault="00F11FE3" w:rsidP="004B05EB">
            <w:pPr>
              <w:rPr>
                <w:rFonts w:cstheme="minorHAnsi"/>
                <w:sz w:val="20"/>
                <w:lang w:val="fr-FR"/>
              </w:rPr>
            </w:pPr>
          </w:p>
        </w:tc>
        <w:tc>
          <w:tcPr>
            <w:tcW w:w="950" w:type="dxa"/>
            <w:vAlign w:val="center"/>
          </w:tcPr>
          <w:p w14:paraId="13A8E0F2" w14:textId="77777777" w:rsidR="00F11FE3" w:rsidRPr="00F11FE3" w:rsidRDefault="00F11FE3" w:rsidP="004B05EB">
            <w:pPr>
              <w:rPr>
                <w:rFonts w:cstheme="minorHAnsi"/>
                <w:sz w:val="20"/>
                <w:lang w:val="fr-FR"/>
              </w:rPr>
            </w:pPr>
          </w:p>
        </w:tc>
      </w:tr>
      <w:tr w:rsidR="00F11FE3" w:rsidRPr="00F11FE3" w14:paraId="61EA024E" w14:textId="77777777" w:rsidTr="004B05EB">
        <w:tc>
          <w:tcPr>
            <w:tcW w:w="6932" w:type="dxa"/>
            <w:vAlign w:val="center"/>
          </w:tcPr>
          <w:p w14:paraId="7D53AB53" w14:textId="77777777" w:rsidR="00F11FE3" w:rsidRPr="00F11FE3" w:rsidRDefault="00F11FE3" w:rsidP="004B05EB">
            <w:pPr>
              <w:rPr>
                <w:rFonts w:cstheme="minorHAnsi"/>
                <w:sz w:val="20"/>
                <w:lang w:val="fr-FR"/>
              </w:rPr>
            </w:pPr>
            <w:r w:rsidRPr="00F11FE3">
              <w:rPr>
                <w:rFonts w:cstheme="minorHAnsi"/>
                <w:sz w:val="20"/>
                <w:lang w:val="fr-FR"/>
              </w:rPr>
              <w:t xml:space="preserve">Emergence d’une citoyenneté responsable dans la participation à la vie publique et le contrôle citoyen </w:t>
            </w:r>
          </w:p>
        </w:tc>
        <w:tc>
          <w:tcPr>
            <w:tcW w:w="950" w:type="dxa"/>
            <w:shd w:val="clear" w:color="auto" w:fill="00B0F0"/>
            <w:vAlign w:val="center"/>
          </w:tcPr>
          <w:p w14:paraId="0DE08C5C" w14:textId="77777777" w:rsidR="00F11FE3" w:rsidRPr="00F11FE3" w:rsidRDefault="00F11FE3" w:rsidP="004B05EB">
            <w:pPr>
              <w:rPr>
                <w:rFonts w:cstheme="minorHAnsi"/>
                <w:sz w:val="20"/>
                <w:lang w:val="fr-FR"/>
              </w:rPr>
            </w:pPr>
          </w:p>
        </w:tc>
        <w:tc>
          <w:tcPr>
            <w:tcW w:w="950" w:type="dxa"/>
            <w:shd w:val="clear" w:color="auto" w:fill="D9E2F3" w:themeFill="accent1" w:themeFillTint="33"/>
            <w:vAlign w:val="center"/>
          </w:tcPr>
          <w:p w14:paraId="7A756CFA" w14:textId="77777777" w:rsidR="00F11FE3" w:rsidRPr="00F11FE3" w:rsidRDefault="00F11FE3" w:rsidP="004B05EB">
            <w:pPr>
              <w:rPr>
                <w:rFonts w:cstheme="minorHAnsi"/>
                <w:sz w:val="20"/>
                <w:lang w:val="fr-FR"/>
              </w:rPr>
            </w:pPr>
          </w:p>
        </w:tc>
        <w:tc>
          <w:tcPr>
            <w:tcW w:w="950" w:type="dxa"/>
            <w:shd w:val="clear" w:color="auto" w:fill="D9E2F3" w:themeFill="accent1" w:themeFillTint="33"/>
            <w:vAlign w:val="center"/>
          </w:tcPr>
          <w:p w14:paraId="05E29E92" w14:textId="77777777" w:rsidR="00F11FE3" w:rsidRPr="00F11FE3" w:rsidRDefault="00F11FE3" w:rsidP="004B05EB">
            <w:pPr>
              <w:rPr>
                <w:rFonts w:cstheme="minorHAnsi"/>
                <w:sz w:val="20"/>
                <w:lang w:val="fr-FR"/>
              </w:rPr>
            </w:pPr>
          </w:p>
        </w:tc>
      </w:tr>
      <w:tr w:rsidR="00F11FE3" w:rsidRPr="00F11FE3" w14:paraId="0A34FF7B" w14:textId="77777777" w:rsidTr="004B05EB">
        <w:tc>
          <w:tcPr>
            <w:tcW w:w="6932" w:type="dxa"/>
            <w:vAlign w:val="center"/>
          </w:tcPr>
          <w:p w14:paraId="69675E2C" w14:textId="77777777" w:rsidR="00F11FE3" w:rsidRPr="00F11FE3" w:rsidRDefault="00F11FE3" w:rsidP="004B05EB">
            <w:pPr>
              <w:rPr>
                <w:rFonts w:cstheme="minorHAnsi"/>
                <w:sz w:val="20"/>
                <w:lang w:val="fr-FR"/>
              </w:rPr>
            </w:pPr>
            <w:r w:rsidRPr="00F11FE3">
              <w:rPr>
                <w:rFonts w:cstheme="minorHAnsi"/>
                <w:sz w:val="20"/>
                <w:lang w:val="fr-FR"/>
              </w:rPr>
              <w:t xml:space="preserve">Finances publiques et privées : adaptation par institutions locales (SFD/I, agences, CT) des produits &amp; services financiers aux capacités/moyens des ménages et des OP/OCB </w:t>
            </w:r>
          </w:p>
        </w:tc>
        <w:tc>
          <w:tcPr>
            <w:tcW w:w="950" w:type="dxa"/>
            <w:vAlign w:val="center"/>
          </w:tcPr>
          <w:p w14:paraId="3D94B725" w14:textId="77777777" w:rsidR="00F11FE3" w:rsidRPr="00F11FE3" w:rsidRDefault="00F11FE3" w:rsidP="004B05EB">
            <w:pPr>
              <w:rPr>
                <w:rFonts w:cstheme="minorHAnsi"/>
                <w:sz w:val="20"/>
                <w:lang w:val="fr-FR"/>
              </w:rPr>
            </w:pPr>
          </w:p>
        </w:tc>
        <w:tc>
          <w:tcPr>
            <w:tcW w:w="950" w:type="dxa"/>
            <w:shd w:val="clear" w:color="auto" w:fill="FFFFFF" w:themeFill="background1"/>
            <w:vAlign w:val="center"/>
          </w:tcPr>
          <w:p w14:paraId="0D42D545" w14:textId="77777777" w:rsidR="00F11FE3" w:rsidRPr="00F11FE3" w:rsidRDefault="00F11FE3" w:rsidP="004B05EB">
            <w:pPr>
              <w:rPr>
                <w:rFonts w:cstheme="minorHAnsi"/>
                <w:sz w:val="20"/>
                <w:lang w:val="fr-FR"/>
              </w:rPr>
            </w:pPr>
          </w:p>
        </w:tc>
        <w:tc>
          <w:tcPr>
            <w:tcW w:w="950" w:type="dxa"/>
            <w:shd w:val="clear" w:color="auto" w:fill="00B0F0"/>
            <w:vAlign w:val="center"/>
          </w:tcPr>
          <w:p w14:paraId="57FC6ED6" w14:textId="77777777" w:rsidR="00F11FE3" w:rsidRPr="00F11FE3" w:rsidRDefault="00F11FE3" w:rsidP="004B05EB">
            <w:pPr>
              <w:rPr>
                <w:rFonts w:cstheme="minorHAnsi"/>
                <w:sz w:val="20"/>
                <w:lang w:val="fr-FR"/>
              </w:rPr>
            </w:pPr>
          </w:p>
        </w:tc>
      </w:tr>
      <w:tr w:rsidR="00F11FE3" w:rsidRPr="00F11FE3" w14:paraId="25A55F7D" w14:textId="77777777" w:rsidTr="004B05EB">
        <w:tc>
          <w:tcPr>
            <w:tcW w:w="6932" w:type="dxa"/>
            <w:vAlign w:val="center"/>
          </w:tcPr>
          <w:p w14:paraId="2E39CF33" w14:textId="77777777" w:rsidR="00F11FE3" w:rsidRPr="00F11FE3" w:rsidRDefault="00F11FE3" w:rsidP="004B05EB">
            <w:pPr>
              <w:rPr>
                <w:rFonts w:cstheme="minorHAnsi"/>
                <w:sz w:val="20"/>
                <w:lang w:val="fr-FR"/>
              </w:rPr>
            </w:pPr>
            <w:r w:rsidRPr="00F11FE3">
              <w:rPr>
                <w:rFonts w:cstheme="minorHAnsi"/>
                <w:sz w:val="20"/>
                <w:lang w:val="fr-FR"/>
              </w:rPr>
              <w:t>Finances publiques : accessibilité durable/pérenne des CT aux divers financements (décentralisés)</w:t>
            </w:r>
          </w:p>
        </w:tc>
        <w:tc>
          <w:tcPr>
            <w:tcW w:w="950" w:type="dxa"/>
            <w:vAlign w:val="center"/>
          </w:tcPr>
          <w:p w14:paraId="7ACEB63C" w14:textId="77777777" w:rsidR="00F11FE3" w:rsidRPr="00F11FE3" w:rsidRDefault="00F11FE3" w:rsidP="004B05EB">
            <w:pPr>
              <w:rPr>
                <w:rFonts w:cstheme="minorHAnsi"/>
                <w:sz w:val="20"/>
                <w:lang w:val="fr-FR"/>
              </w:rPr>
            </w:pPr>
          </w:p>
        </w:tc>
        <w:tc>
          <w:tcPr>
            <w:tcW w:w="950" w:type="dxa"/>
            <w:shd w:val="clear" w:color="auto" w:fill="00B0F0"/>
            <w:vAlign w:val="center"/>
          </w:tcPr>
          <w:p w14:paraId="67320C69" w14:textId="77777777" w:rsidR="00F11FE3" w:rsidRPr="00F11FE3" w:rsidRDefault="00F11FE3" w:rsidP="004B05EB">
            <w:pPr>
              <w:rPr>
                <w:rFonts w:cstheme="minorHAnsi"/>
                <w:sz w:val="20"/>
                <w:lang w:val="fr-FR"/>
              </w:rPr>
            </w:pPr>
          </w:p>
        </w:tc>
        <w:tc>
          <w:tcPr>
            <w:tcW w:w="950" w:type="dxa"/>
            <w:shd w:val="clear" w:color="auto" w:fill="FFFFFF" w:themeFill="background1"/>
            <w:vAlign w:val="center"/>
          </w:tcPr>
          <w:p w14:paraId="061318A7" w14:textId="77777777" w:rsidR="00F11FE3" w:rsidRPr="00F11FE3" w:rsidRDefault="00F11FE3" w:rsidP="004B05EB">
            <w:pPr>
              <w:rPr>
                <w:rFonts w:cstheme="minorHAnsi"/>
                <w:sz w:val="20"/>
                <w:lang w:val="fr-FR"/>
              </w:rPr>
            </w:pPr>
          </w:p>
        </w:tc>
      </w:tr>
      <w:tr w:rsidR="00F11FE3" w:rsidRPr="00F11FE3" w14:paraId="4608B9B4" w14:textId="77777777" w:rsidTr="004B05EB">
        <w:tc>
          <w:tcPr>
            <w:tcW w:w="6932" w:type="dxa"/>
            <w:vAlign w:val="center"/>
          </w:tcPr>
          <w:p w14:paraId="544D0751" w14:textId="77777777" w:rsidR="00F11FE3" w:rsidRPr="00F11FE3" w:rsidRDefault="00F11FE3" w:rsidP="004B05EB">
            <w:pPr>
              <w:rPr>
                <w:rFonts w:cstheme="minorHAnsi"/>
                <w:sz w:val="20"/>
                <w:lang w:val="fr-FR"/>
              </w:rPr>
            </w:pPr>
            <w:r w:rsidRPr="00F11FE3">
              <w:rPr>
                <w:rFonts w:cstheme="minorHAnsi"/>
                <w:sz w:val="20"/>
                <w:lang w:val="fr-FR"/>
              </w:rPr>
              <w:t>EGIS : reconnaissance et prise en compte des rôles des femmes, des jeunes et des besoins des groupes vulnérables</w:t>
            </w:r>
          </w:p>
        </w:tc>
        <w:tc>
          <w:tcPr>
            <w:tcW w:w="950" w:type="dxa"/>
            <w:vAlign w:val="center"/>
          </w:tcPr>
          <w:p w14:paraId="2A1E7E27" w14:textId="77777777" w:rsidR="00F11FE3" w:rsidRPr="00F11FE3" w:rsidRDefault="00F11FE3" w:rsidP="004B05EB">
            <w:pPr>
              <w:rPr>
                <w:rFonts w:cstheme="minorHAnsi"/>
                <w:sz w:val="20"/>
                <w:lang w:val="fr-FR"/>
              </w:rPr>
            </w:pPr>
          </w:p>
        </w:tc>
        <w:tc>
          <w:tcPr>
            <w:tcW w:w="950" w:type="dxa"/>
            <w:shd w:val="clear" w:color="auto" w:fill="00B0F0"/>
            <w:vAlign w:val="center"/>
          </w:tcPr>
          <w:p w14:paraId="6EDA5BD5" w14:textId="77777777" w:rsidR="00F11FE3" w:rsidRPr="00F11FE3" w:rsidRDefault="00F11FE3" w:rsidP="004B05EB">
            <w:pPr>
              <w:rPr>
                <w:rFonts w:cstheme="minorHAnsi"/>
                <w:sz w:val="20"/>
                <w:lang w:val="fr-FR"/>
              </w:rPr>
            </w:pPr>
          </w:p>
        </w:tc>
        <w:tc>
          <w:tcPr>
            <w:tcW w:w="950" w:type="dxa"/>
            <w:vAlign w:val="center"/>
          </w:tcPr>
          <w:p w14:paraId="4A01E706" w14:textId="77777777" w:rsidR="00F11FE3" w:rsidRPr="00F11FE3" w:rsidRDefault="00F11FE3" w:rsidP="004B05EB">
            <w:pPr>
              <w:rPr>
                <w:rFonts w:cstheme="minorHAnsi"/>
                <w:sz w:val="20"/>
                <w:lang w:val="fr-FR"/>
              </w:rPr>
            </w:pPr>
          </w:p>
        </w:tc>
      </w:tr>
    </w:tbl>
    <w:p w14:paraId="57C91724" w14:textId="77777777" w:rsidR="00F11FE3" w:rsidRPr="00F11FE3" w:rsidRDefault="00F11FE3" w:rsidP="00F11FE3">
      <w:pPr>
        <w:pStyle w:val="Paragraphedeliste"/>
        <w:jc w:val="both"/>
        <w:rPr>
          <w:rFonts w:ascii="Verdana" w:hAnsi="Verdana" w:cstheme="minorHAnsi"/>
          <w:sz w:val="20"/>
          <w:szCs w:val="20"/>
          <w:lang w:val="fr-FR"/>
        </w:rPr>
      </w:pPr>
    </w:p>
    <w:bookmarkEnd w:id="0"/>
    <w:p w14:paraId="77A4D00C" w14:textId="77777777" w:rsidR="00AD535A" w:rsidRPr="00F11FE3" w:rsidRDefault="00AD535A">
      <w:pPr>
        <w:rPr>
          <w:rFonts w:ascii="Verdana" w:hAnsi="Verdana" w:cstheme="minorHAnsi"/>
          <w:sz w:val="20"/>
          <w:szCs w:val="20"/>
          <w:lang w:val="fr-FR"/>
        </w:rPr>
      </w:pPr>
    </w:p>
    <w:sectPr w:rsidR="00AD535A" w:rsidRPr="00F1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46B1"/>
    <w:multiLevelType w:val="hybridMultilevel"/>
    <w:tmpl w:val="68C0E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4758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1FE3"/>
    <w:rsid w:val="00AD535A"/>
    <w:rsid w:val="00F11FE3"/>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92B"/>
  <w15:chartTrackingRefBased/>
  <w15:docId w15:val="{390AD826-F616-401E-BEEE-402B1740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kepala,Citation List,Graphic,List Paragraph1,Table of contents numbered,List Paragraph (bulleted list),Bullet 1 List,Paragraph_utama,- List tir,liste 1,puce 1,Puces,Titre1,Paragraphe à Puce,1,Paragraphe de liste1,inspringtekst,U 5,l"/>
    <w:basedOn w:val="Normal"/>
    <w:link w:val="ParagraphedelisteCar"/>
    <w:uiPriority w:val="34"/>
    <w:qFormat/>
    <w:rsid w:val="00F11FE3"/>
    <w:pPr>
      <w:ind w:left="720"/>
      <w:contextualSpacing/>
    </w:pPr>
    <w:rPr>
      <w:rFonts w:ascii="Calibri" w:eastAsia="Calibri" w:hAnsi="Calibri" w:cs="Calibri"/>
      <w:color w:val="000000"/>
      <w:lang w:val="nl-NL"/>
    </w:rPr>
  </w:style>
  <w:style w:type="paragraph" w:styleId="Lgende">
    <w:name w:val="caption"/>
    <w:basedOn w:val="Normal"/>
    <w:next w:val="Normal"/>
    <w:uiPriority w:val="35"/>
    <w:unhideWhenUsed/>
    <w:qFormat/>
    <w:rsid w:val="00F11FE3"/>
    <w:pPr>
      <w:spacing w:after="200" w:line="240" w:lineRule="auto"/>
    </w:pPr>
    <w:rPr>
      <w:i/>
      <w:iCs/>
      <w:color w:val="44546A" w:themeColor="text2"/>
      <w:sz w:val="18"/>
      <w:szCs w:val="18"/>
    </w:rPr>
  </w:style>
  <w:style w:type="character" w:customStyle="1" w:styleId="ParagraphedelisteCar">
    <w:name w:val="Paragraphe de liste Car"/>
    <w:aliases w:val="kepala Car,Citation List Car,Graphic Car,List Paragraph1 Car,Table of contents numbered Car,List Paragraph (bulleted list) Car,Bullet 1 List Car,Paragraph_utama Car,- List tir Car,liste 1 Car,puce 1 Car,Puces Car,Titre1 Car,1 Car"/>
    <w:link w:val="Paragraphedeliste"/>
    <w:uiPriority w:val="34"/>
    <w:qFormat/>
    <w:locked/>
    <w:rsid w:val="00F11FE3"/>
    <w:rPr>
      <w:rFonts w:ascii="Calibri" w:eastAsia="Calibri" w:hAnsi="Calibri" w:cs="Calibri"/>
      <w:color w:val="000000"/>
      <w:lang w:val="nl-NL"/>
    </w:rPr>
  </w:style>
  <w:style w:type="table" w:customStyle="1" w:styleId="TableGrid1">
    <w:name w:val="Table Grid1"/>
    <w:basedOn w:val="TableauNormal"/>
    <w:next w:val="Grilledutableau"/>
    <w:uiPriority w:val="39"/>
    <w:rsid w:val="00F11FE3"/>
    <w:pPr>
      <w:spacing w:after="0" w:line="240" w:lineRule="auto"/>
    </w:pPr>
    <w:rPr>
      <w:rFonts w:ascii="Verdana" w:hAnsi="Verdana" w:cs="Times New Roman"/>
      <w:sz w:val="17"/>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table" w:styleId="Grilledutableau">
    <w:name w:val="Table Grid"/>
    <w:basedOn w:val="TableauNormal"/>
    <w:uiPriority w:val="39"/>
    <w:rsid w:val="00F1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Office Word</Application>
  <DocSecurity>0</DocSecurity>
  <Lines>30</Lines>
  <Paragraphs>8</Paragraphs>
  <ScaleCrop>false</ScaleCrop>
  <Company>SNV Netherlands Development Organisation</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1</cp:revision>
  <dcterms:created xsi:type="dcterms:W3CDTF">2023-10-31T14:16:00Z</dcterms:created>
  <dcterms:modified xsi:type="dcterms:W3CDTF">2023-10-31T14:18:00Z</dcterms:modified>
</cp:coreProperties>
</file>